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8C" w:rsidRPr="00AD698C" w:rsidRDefault="00AD698C" w:rsidP="00AD698C">
      <w:pPr>
        <w:shd w:val="clear" w:color="auto" w:fill="FAFAFA"/>
        <w:spacing w:after="150" w:line="390" w:lineRule="atLeast"/>
        <w:outlineLvl w:val="0"/>
        <w:rPr>
          <w:rFonts w:ascii="magistralcregular" w:eastAsia="Times New Roman" w:hAnsi="magistralcregular" w:cs="Times New Roman"/>
          <w:color w:val="333333"/>
          <w:kern w:val="36"/>
          <w:sz w:val="33"/>
          <w:szCs w:val="33"/>
          <w:lang w:val="uk-UA" w:eastAsia="ru-RU"/>
        </w:rPr>
      </w:pPr>
      <w:r w:rsidRPr="00AD698C">
        <w:rPr>
          <w:rFonts w:ascii="magistralcregular" w:eastAsia="Times New Roman" w:hAnsi="magistralcregular" w:cs="Times New Roman"/>
          <w:color w:val="333333"/>
          <w:kern w:val="36"/>
          <w:sz w:val="33"/>
          <w:szCs w:val="33"/>
          <w:lang w:val="uk-UA" w:eastAsia="ru-RU"/>
        </w:rPr>
        <w:t>Курси підвищення кваліфікації вчителів середніх загальноосвітніх навчальних закладів</w:t>
      </w:r>
    </w:p>
    <w:p w:rsidR="00AD698C" w:rsidRPr="00AD698C" w:rsidRDefault="00AD698C" w:rsidP="00AD698C">
      <w:pPr>
        <w:shd w:val="clear" w:color="auto" w:fill="FAFAFA"/>
        <w:spacing w:after="15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AD698C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Інститут післядипломної освіти та </w:t>
      </w:r>
      <w:proofErr w:type="spellStart"/>
      <w:r w:rsidRPr="00AD698C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доуніверситетської</w:t>
      </w:r>
      <w:proofErr w:type="spellEnd"/>
      <w:r w:rsidRPr="00AD698C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підготовки на базі Центру </w:t>
      </w:r>
      <w:proofErr w:type="spellStart"/>
      <w:r w:rsidRPr="00AD698C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доуніверситетської</w:t>
      </w:r>
      <w:proofErr w:type="spellEnd"/>
      <w:r w:rsidRPr="00AD698C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 xml:space="preserve"> та сертифікаційної освіти проводить курси підвищення кваліфікації вчителів загальноосвітніх навчальних закладів без відриву від основного місця роботи за базовими акредитованими напрямами підготовки та з компенсацією затрат.</w:t>
      </w:r>
    </w:p>
    <w:p w:rsidR="00AD698C" w:rsidRPr="00AD698C" w:rsidRDefault="00AD698C" w:rsidP="00AD698C">
      <w:pPr>
        <w:shd w:val="clear" w:color="auto" w:fill="FAFAFA"/>
        <w:spacing w:after="15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AD698C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Обсяг годин – 72.</w:t>
      </w:r>
    </w:p>
    <w:p w:rsidR="00AD698C" w:rsidRPr="00AD698C" w:rsidRDefault="00AD698C" w:rsidP="00AD698C">
      <w:pPr>
        <w:shd w:val="clear" w:color="auto" w:fill="FAFAFA"/>
        <w:spacing w:after="15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AD698C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Термін  проведення  курсів – 12 днів.</w:t>
      </w:r>
    </w:p>
    <w:p w:rsidR="00AD698C" w:rsidRPr="00AD698C" w:rsidRDefault="00AD698C" w:rsidP="00AD698C">
      <w:pPr>
        <w:shd w:val="clear" w:color="auto" w:fill="FAFAFA"/>
        <w:spacing w:after="15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AD698C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Кількість слухачів  у групі  – 15-30.</w:t>
      </w:r>
    </w:p>
    <w:p w:rsidR="00AD698C" w:rsidRPr="00AD698C" w:rsidRDefault="00AD698C" w:rsidP="00AD698C">
      <w:pPr>
        <w:shd w:val="clear" w:color="auto" w:fill="FAFAFA"/>
        <w:spacing w:after="15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AD698C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Заняття відбуваються у вільний від роботи час.</w:t>
      </w:r>
      <w:bookmarkStart w:id="0" w:name="_GoBack"/>
      <w:bookmarkEnd w:id="0"/>
    </w:p>
    <w:p w:rsidR="00AD698C" w:rsidRPr="00AD698C" w:rsidRDefault="00AD698C" w:rsidP="00AD698C">
      <w:pPr>
        <w:shd w:val="clear" w:color="auto" w:fill="FAFAFA"/>
        <w:spacing w:after="15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AD698C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Після закінчення курсів  видається  свідоцтво  встановленого  зразка.</w:t>
      </w:r>
    </w:p>
    <w:p w:rsidR="00AD698C" w:rsidRPr="00AD698C" w:rsidRDefault="00AD698C" w:rsidP="00AD698C">
      <w:pPr>
        <w:shd w:val="clear" w:color="auto" w:fill="FAFAFA"/>
        <w:spacing w:after="0" w:line="240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AD698C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val="uk-UA" w:eastAsia="ru-RU"/>
        </w:rPr>
        <w:t>Графік проведення курсів підвищення кваліфікації вчителів</w:t>
      </w:r>
    </w:p>
    <w:p w:rsidR="00AD698C" w:rsidRPr="00AD698C" w:rsidRDefault="00AD698C" w:rsidP="00AD698C">
      <w:pPr>
        <w:shd w:val="clear" w:color="auto" w:fill="FAFAFA"/>
        <w:spacing w:after="0" w:line="240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AD698C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val="uk-UA" w:eastAsia="ru-RU"/>
        </w:rPr>
        <w:t xml:space="preserve">в Інституті післядипломної освіти та </w:t>
      </w:r>
      <w:proofErr w:type="spellStart"/>
      <w:r w:rsidRPr="00AD698C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val="uk-UA" w:eastAsia="ru-RU"/>
        </w:rPr>
        <w:t>доуніверситетської</w:t>
      </w:r>
      <w:proofErr w:type="spellEnd"/>
      <w:r w:rsidRPr="00AD698C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val="uk-UA" w:eastAsia="ru-RU"/>
        </w:rPr>
        <w:t xml:space="preserve"> підготовки</w:t>
      </w:r>
    </w:p>
    <w:p w:rsidR="00AD698C" w:rsidRPr="00AD698C" w:rsidRDefault="00AD698C" w:rsidP="00AD698C">
      <w:pPr>
        <w:shd w:val="clear" w:color="auto" w:fill="FAFAFA"/>
        <w:spacing w:after="0" w:line="240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AD698C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val="uk-UA" w:eastAsia="ru-RU"/>
        </w:rPr>
        <w:t> Львівського національного університету  імені Івана Франка</w:t>
      </w:r>
    </w:p>
    <w:p w:rsidR="00AD698C" w:rsidRPr="00AD698C" w:rsidRDefault="00AD698C" w:rsidP="00AD698C">
      <w:pPr>
        <w:shd w:val="clear" w:color="auto" w:fill="FAFAFA"/>
        <w:spacing w:after="0" w:line="240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AD698C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val="uk-UA" w:eastAsia="ru-RU"/>
        </w:rPr>
        <w:t> 2017-2018 н. р.</w:t>
      </w:r>
    </w:p>
    <w:p w:rsidR="00AD698C" w:rsidRPr="00AD698C" w:rsidRDefault="00AD698C" w:rsidP="00AD698C">
      <w:pPr>
        <w:shd w:val="clear" w:color="auto" w:fill="FAFAFA"/>
        <w:spacing w:after="15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AD698C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 </w:t>
      </w:r>
    </w:p>
    <w:tbl>
      <w:tblPr>
        <w:tblW w:w="10800" w:type="dxa"/>
        <w:tblBorders>
          <w:bottom w:val="single" w:sz="6" w:space="0" w:color="E9E9E9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093"/>
        <w:gridCol w:w="2988"/>
      </w:tblGrid>
      <w:tr w:rsidR="00AD698C" w:rsidRPr="00AD698C" w:rsidTr="00AD698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№</w:t>
            </w:r>
          </w:p>
          <w:p w:rsidR="00AD698C" w:rsidRPr="00AD698C" w:rsidRDefault="00AD698C" w:rsidP="00AD698C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з/п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Перелік навчальних дисциплін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Термін навчання</w:t>
            </w:r>
          </w:p>
        </w:tc>
      </w:tr>
      <w:tr w:rsidR="00AD698C" w:rsidRPr="00AD698C" w:rsidTr="00AD698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 xml:space="preserve">Англійська мова, українська </w:t>
            </w:r>
            <w:proofErr w:type="spellStart"/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мова</w:t>
            </w:r>
            <w:r w:rsidRPr="00AD698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та  літер</w:t>
            </w:r>
            <w:proofErr w:type="spellEnd"/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атура,  математика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25.09-10.10.2017 р.</w:t>
            </w:r>
          </w:p>
        </w:tc>
      </w:tr>
      <w:tr w:rsidR="00AD698C" w:rsidRPr="00AD698C" w:rsidTr="00AD698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Біологія,  фізика,  хімія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16.10-31.10.2017 р.</w:t>
            </w:r>
          </w:p>
        </w:tc>
      </w:tr>
      <w:tr w:rsidR="00AD698C" w:rsidRPr="00AD698C" w:rsidTr="00AD698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Зарубіжна література,  історія,  географія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06.11-21.11.2017 р.</w:t>
            </w:r>
          </w:p>
        </w:tc>
      </w:tr>
      <w:tr w:rsidR="00AD698C" w:rsidRPr="00AD698C" w:rsidTr="00AD698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Дошкільна освіта, початкова освіта, спеціальна освіта, соціальна педагогіка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27.11-12.12.2017 р.</w:t>
            </w:r>
          </w:p>
        </w:tc>
      </w:tr>
      <w:tr w:rsidR="00AD698C" w:rsidRPr="00AD698C" w:rsidTr="00AD698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 xml:space="preserve">Англійська мова, українська </w:t>
            </w:r>
            <w:proofErr w:type="spellStart"/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мова</w:t>
            </w:r>
            <w:r w:rsidRPr="00AD698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та літер</w:t>
            </w:r>
            <w:proofErr w:type="spellEnd"/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атура, німецька мова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  <w:r w:rsidRPr="00AD698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 w:eastAsia="ru-RU"/>
              </w:rPr>
              <w:t>12.03-27.03.2018 р.</w:t>
            </w:r>
          </w:p>
        </w:tc>
      </w:tr>
    </w:tbl>
    <w:p w:rsidR="00AD698C" w:rsidRPr="00AD698C" w:rsidRDefault="00AD698C" w:rsidP="00AD698C">
      <w:pPr>
        <w:shd w:val="clear" w:color="auto" w:fill="FAFAFA"/>
        <w:spacing w:after="15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AD698C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 </w:t>
      </w:r>
    </w:p>
    <w:tbl>
      <w:tblPr>
        <w:tblW w:w="10800" w:type="dxa"/>
        <w:tblBorders>
          <w:bottom w:val="single" w:sz="6" w:space="0" w:color="E9E9E9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437"/>
        <w:gridCol w:w="2777"/>
      </w:tblGrid>
      <w:tr w:rsidR="00AD698C" w:rsidRPr="00AD698C" w:rsidTr="00AD69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</w:tr>
      <w:tr w:rsidR="00AD698C" w:rsidRPr="00AD698C" w:rsidTr="00AD69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</w:tr>
      <w:tr w:rsidR="00AD698C" w:rsidRPr="00AD698C" w:rsidTr="00AD69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</w:tr>
      <w:tr w:rsidR="00AD698C" w:rsidRPr="00AD698C" w:rsidTr="00AD69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</w:tr>
      <w:tr w:rsidR="00AD698C" w:rsidRPr="00AD698C" w:rsidTr="00AD698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D698C" w:rsidRPr="00AD698C" w:rsidRDefault="00AD698C" w:rsidP="00AD698C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</w:tr>
    </w:tbl>
    <w:p w:rsidR="00AD698C" w:rsidRPr="00AD698C" w:rsidRDefault="00AD698C" w:rsidP="00AD698C">
      <w:pPr>
        <w:shd w:val="clear" w:color="auto" w:fill="FAFAFA"/>
        <w:spacing w:after="0" w:line="240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AD698C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AD698C" w:rsidRPr="00AD698C" w:rsidRDefault="00AD698C" w:rsidP="00AD698C">
      <w:pPr>
        <w:shd w:val="clear" w:color="auto" w:fill="FAFAFA"/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</w:pPr>
      <w:r w:rsidRPr="00AD698C">
        <w:rPr>
          <w:rFonts w:ascii="Verdana" w:eastAsia="Times New Roman" w:hAnsi="Verdana" w:cs="Times New Roman"/>
          <w:i/>
          <w:iCs/>
          <w:color w:val="666666"/>
          <w:sz w:val="18"/>
          <w:szCs w:val="18"/>
          <w:bdr w:val="none" w:sz="0" w:space="0" w:color="auto" w:frame="1"/>
          <w:lang w:val="uk-UA" w:eastAsia="ru-RU"/>
        </w:rPr>
        <w:t>Адреса</w:t>
      </w:r>
      <w:r w:rsidRPr="00AD698C">
        <w:rPr>
          <w:rFonts w:ascii="Verdana" w:eastAsia="Times New Roman" w:hAnsi="Verdana" w:cs="Times New Roman"/>
          <w:color w:val="666666"/>
          <w:sz w:val="18"/>
          <w:szCs w:val="18"/>
          <w:lang w:val="uk-UA" w:eastAsia="ru-RU"/>
        </w:rPr>
        <w:t>: 79000 м. Львів, вул. Січових Стрільців, 16, кім. 108, тел. 239-41-39</w:t>
      </w:r>
    </w:p>
    <w:p w:rsidR="00CF21ED" w:rsidRPr="00AD698C" w:rsidRDefault="00CF21ED">
      <w:pPr>
        <w:rPr>
          <w:lang w:val="uk-UA"/>
        </w:rPr>
      </w:pPr>
    </w:p>
    <w:sectPr w:rsidR="00CF21ED" w:rsidRPr="00AD698C" w:rsidSect="00AD6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gistralc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8C"/>
    <w:rsid w:val="00AD698C"/>
    <w:rsid w:val="00C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2017-10-04T20:20:00Z</dcterms:created>
  <dcterms:modified xsi:type="dcterms:W3CDTF">2017-10-04T20:21:00Z</dcterms:modified>
</cp:coreProperties>
</file>