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1511"/>
      </w:tblGrid>
      <w:tr w:rsidR="00F75827" w:rsidRPr="001C02BC" w:rsidTr="005D530E">
        <w:trPr>
          <w:jc w:val="center"/>
        </w:trPr>
        <w:tc>
          <w:tcPr>
            <w:tcW w:w="4140" w:type="dxa"/>
            <w:tcBorders>
              <w:bottom w:val="single" w:sz="18" w:space="0" w:color="auto"/>
            </w:tcBorders>
            <w:shd w:val="clear" w:color="auto" w:fill="CFFFB7"/>
            <w:vAlign w:val="center"/>
          </w:tcPr>
          <w:p w:rsidR="00F75827" w:rsidRPr="001C02BC" w:rsidRDefault="00F75827" w:rsidP="002E3370">
            <w:pPr>
              <w:spacing w:before="40" w:after="40" w:line="240" w:lineRule="auto"/>
              <w:ind w:left="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Складова концепції проекту</w:t>
            </w:r>
          </w:p>
        </w:tc>
        <w:tc>
          <w:tcPr>
            <w:tcW w:w="11511" w:type="dxa"/>
            <w:tcBorders>
              <w:bottom w:val="single" w:sz="18" w:space="0" w:color="auto"/>
            </w:tcBorders>
            <w:shd w:val="clear" w:color="auto" w:fill="E3D5FF"/>
            <w:vAlign w:val="center"/>
          </w:tcPr>
          <w:p w:rsidR="00F75827" w:rsidRPr="001C02BC" w:rsidRDefault="00F75827" w:rsidP="002E3370">
            <w:pPr>
              <w:spacing w:before="40" w:after="40" w:line="240" w:lineRule="auto"/>
              <w:ind w:left="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Ваші пропозиції щодо формулювання складових концепції проекту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FFFB7"/>
          </w:tcPr>
          <w:p w:rsidR="00D961ED" w:rsidRPr="00FF559A" w:rsidRDefault="005D530E" w:rsidP="00FF559A">
            <w:pPr>
              <w:spacing w:before="40" w:after="40" w:line="240" w:lineRule="auto"/>
              <w:ind w:left="57"/>
              <w:rPr>
                <w:bCs/>
                <w:i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1. Назва проекту</w:t>
            </w: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br/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Title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the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project</w:t>
            </w:r>
            <w:proofErr w:type="spellEnd"/>
          </w:p>
        </w:tc>
        <w:tc>
          <w:tcPr>
            <w:tcW w:w="11511" w:type="dxa"/>
            <w:tcBorders>
              <w:top w:val="single" w:sz="18" w:space="0" w:color="auto"/>
              <w:bottom w:val="single" w:sz="18" w:space="0" w:color="auto"/>
            </w:tcBorders>
          </w:tcPr>
          <w:p w:rsidR="00B41A82" w:rsidRPr="001C02BC" w:rsidRDefault="00B41A82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</w:rPr>
            </w:pPr>
            <w:proofErr w:type="spellStart"/>
            <w:r w:rsidRPr="001C02BC">
              <w:rPr>
                <w:b/>
                <w:bCs/>
                <w:sz w:val="20"/>
                <w:szCs w:val="20"/>
              </w:rPr>
              <w:t>Повна</w:t>
            </w:r>
            <w:proofErr w:type="spellEnd"/>
            <w:r w:rsidRPr="001C02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/>
                <w:bCs/>
                <w:sz w:val="20"/>
                <w:szCs w:val="20"/>
              </w:rPr>
              <w:t>назва</w:t>
            </w:r>
            <w:proofErr w:type="spellEnd"/>
            <w:r w:rsidRPr="001C02BC">
              <w:rPr>
                <w:b/>
                <w:bCs/>
                <w:sz w:val="20"/>
                <w:szCs w:val="20"/>
              </w:rPr>
              <w:t xml:space="preserve"> проекту:</w:t>
            </w:r>
          </w:p>
          <w:p w:rsidR="00EE1C4C" w:rsidRPr="001C02BC" w:rsidRDefault="00B41A82" w:rsidP="002E3370">
            <w:pPr>
              <w:spacing w:before="40" w:after="40" w:line="240" w:lineRule="auto"/>
              <w:ind w:left="57"/>
              <w:rPr>
                <w:i/>
                <w:sz w:val="20"/>
                <w:szCs w:val="20"/>
              </w:rPr>
            </w:pPr>
            <w:proofErr w:type="spellStart"/>
            <w:r w:rsidRPr="001C02BC">
              <w:rPr>
                <w:bCs/>
                <w:sz w:val="20"/>
                <w:szCs w:val="20"/>
              </w:rPr>
              <w:t>Створення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мережі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тематичних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C02BC">
              <w:rPr>
                <w:bCs/>
                <w:sz w:val="20"/>
                <w:szCs w:val="20"/>
              </w:rPr>
              <w:t>літніх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наметових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таборі</w:t>
            </w:r>
            <w:proofErr w:type="gramStart"/>
            <w:r w:rsidRPr="001C02BC"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 w:rsidRPr="001C02BC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1C02BC">
              <w:rPr>
                <w:bCs/>
                <w:sz w:val="20"/>
                <w:szCs w:val="20"/>
              </w:rPr>
              <w:t>дітей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1C02BC">
              <w:rPr>
                <w:bCs/>
                <w:sz w:val="20"/>
                <w:szCs w:val="20"/>
              </w:rPr>
              <w:t>територіях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паркових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зон м. </w:t>
            </w:r>
            <w:proofErr w:type="spellStart"/>
            <w:r w:rsidRPr="001C02BC">
              <w:rPr>
                <w:bCs/>
                <w:sz w:val="20"/>
                <w:szCs w:val="20"/>
              </w:rPr>
              <w:t>Сєвєродонецька</w:t>
            </w:r>
            <w:proofErr w:type="spellEnd"/>
          </w:p>
          <w:p w:rsidR="00B41A82" w:rsidRPr="001C02BC" w:rsidRDefault="00B41A82" w:rsidP="00FF559A">
            <w:pPr>
              <w:spacing w:before="40" w:after="4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1C02BC">
              <w:rPr>
                <w:b/>
                <w:sz w:val="20"/>
                <w:szCs w:val="20"/>
                <w:lang w:eastAsia="ru-RU"/>
              </w:rPr>
              <w:t>Назва</w:t>
            </w:r>
            <w:proofErr w:type="spellEnd"/>
            <w:r w:rsidRPr="001C02BC">
              <w:rPr>
                <w:b/>
                <w:sz w:val="20"/>
                <w:szCs w:val="20"/>
                <w:lang w:eastAsia="ru-RU"/>
              </w:rPr>
              <w:t xml:space="preserve"> гасло:</w:t>
            </w:r>
            <w:r w:rsidR="00FF559A">
              <w:rPr>
                <w:b/>
                <w:sz w:val="20"/>
                <w:szCs w:val="20"/>
                <w:lang w:val="uk-UA" w:eastAsia="ru-RU"/>
              </w:rPr>
              <w:t xml:space="preserve"> </w:t>
            </w:r>
            <w:r w:rsidR="00977B9A" w:rsidRPr="001C02BC">
              <w:rPr>
                <w:sz w:val="20"/>
                <w:szCs w:val="20"/>
                <w:lang w:val="uk-UA" w:eastAsia="ru-RU"/>
              </w:rPr>
              <w:t>«</w:t>
            </w:r>
            <w:proofErr w:type="spellStart"/>
            <w:r w:rsidRPr="001C02BC">
              <w:rPr>
                <w:sz w:val="20"/>
                <w:szCs w:val="20"/>
                <w:lang w:eastAsia="ru-RU"/>
              </w:rPr>
              <w:t>Знову</w:t>
            </w:r>
            <w:proofErr w:type="spellEnd"/>
            <w:r w:rsidRPr="001C02BC">
              <w:rPr>
                <w:sz w:val="20"/>
                <w:szCs w:val="20"/>
                <w:lang w:eastAsia="ru-RU"/>
              </w:rPr>
              <w:t xml:space="preserve"> л</w:t>
            </w:r>
            <w:proofErr w:type="spellStart"/>
            <w:r w:rsidRPr="001C02BC">
              <w:rPr>
                <w:sz w:val="20"/>
                <w:szCs w:val="20"/>
                <w:lang w:val="uk-UA" w:eastAsia="ru-RU"/>
              </w:rPr>
              <w:t>іто</w:t>
            </w:r>
            <w:proofErr w:type="spellEnd"/>
            <w:r w:rsidRPr="001C02BC">
              <w:rPr>
                <w:sz w:val="20"/>
                <w:szCs w:val="20"/>
                <w:lang w:val="uk-UA" w:eastAsia="ru-RU"/>
              </w:rPr>
              <w:t xml:space="preserve">? </w:t>
            </w:r>
            <w:r w:rsidR="00977B9A" w:rsidRPr="001C02BC">
              <w:rPr>
                <w:sz w:val="20"/>
                <w:szCs w:val="20"/>
                <w:lang w:val="uk-UA" w:eastAsia="ru-RU"/>
              </w:rPr>
              <w:t xml:space="preserve"> Де відпочинуть наші діти?»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tcBorders>
              <w:top w:val="single" w:sz="18" w:space="0" w:color="auto"/>
            </w:tcBorders>
            <w:shd w:val="clear" w:color="auto" w:fill="CFFFB7"/>
          </w:tcPr>
          <w:p w:rsidR="005D530E" w:rsidRPr="001C02BC" w:rsidRDefault="005D530E" w:rsidP="002E3370">
            <w:pPr>
              <w:tabs>
                <w:tab w:val="center" w:pos="959"/>
              </w:tabs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2. Назва організації, яка подає заявку </w:t>
            </w:r>
          </w:p>
          <w:p w:rsidR="00D961ED" w:rsidRPr="00FF559A" w:rsidRDefault="005D530E" w:rsidP="00FF559A">
            <w:pPr>
              <w:spacing w:before="40" w:after="40" w:line="240" w:lineRule="auto"/>
              <w:ind w:left="57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Name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the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lead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applicant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(co-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applicants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and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affiliated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entities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,</w:t>
            </w:r>
            <w:r w:rsidRPr="001C02BC">
              <w:rPr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if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any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)</w:t>
            </w:r>
            <w:r w:rsidRPr="001C02B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511" w:type="dxa"/>
            <w:tcBorders>
              <w:top w:val="single" w:sz="18" w:space="0" w:color="auto"/>
            </w:tcBorders>
          </w:tcPr>
          <w:p w:rsidR="00977B9A" w:rsidRPr="001C02BC" w:rsidRDefault="00977B9A" w:rsidP="002E3370">
            <w:pPr>
              <w:spacing w:before="40" w:after="40" w:line="240" w:lineRule="auto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 xml:space="preserve">Назва організації що подає заявку:ГО кризовий </w:t>
            </w:r>
            <w:r w:rsidR="001070E1" w:rsidRPr="001C02BC">
              <w:rPr>
                <w:i/>
                <w:sz w:val="20"/>
                <w:szCs w:val="20"/>
                <w:lang w:val="uk-UA"/>
              </w:rPr>
              <w:t>медіа-</w:t>
            </w:r>
            <w:r w:rsidRPr="001C02BC">
              <w:rPr>
                <w:i/>
                <w:sz w:val="20"/>
                <w:szCs w:val="20"/>
                <w:lang w:val="uk-UA"/>
              </w:rPr>
              <w:t xml:space="preserve">центр </w:t>
            </w:r>
            <w:r w:rsidR="001070E1" w:rsidRPr="001C02BC">
              <w:rPr>
                <w:i/>
                <w:sz w:val="20"/>
                <w:szCs w:val="20"/>
                <w:lang w:val="uk-UA"/>
              </w:rPr>
              <w:t>«</w:t>
            </w:r>
            <w:proofErr w:type="spellStart"/>
            <w:r w:rsidRPr="001C02BC">
              <w:rPr>
                <w:i/>
                <w:sz w:val="20"/>
                <w:szCs w:val="20"/>
                <w:lang w:val="uk-UA"/>
              </w:rPr>
              <w:t>Сіверськи</w:t>
            </w:r>
            <w:proofErr w:type="spellEnd"/>
            <w:r w:rsidRPr="001C02BC">
              <w:rPr>
                <w:i/>
                <w:sz w:val="20"/>
                <w:szCs w:val="20"/>
                <w:lang w:val="uk-UA"/>
              </w:rPr>
              <w:t xml:space="preserve"> донець</w:t>
            </w:r>
            <w:r w:rsidR="001070E1" w:rsidRPr="001C02BC">
              <w:rPr>
                <w:i/>
                <w:sz w:val="20"/>
                <w:szCs w:val="20"/>
                <w:lang w:val="uk-UA"/>
              </w:rPr>
              <w:t>».</w:t>
            </w:r>
          </w:p>
          <w:p w:rsidR="00656A96" w:rsidRPr="00FF559A" w:rsidRDefault="00977B9A" w:rsidP="00A44929">
            <w:pPr>
              <w:spacing w:before="40" w:after="40" w:line="240" w:lineRule="auto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C02BC">
              <w:rPr>
                <w:i/>
                <w:sz w:val="20"/>
                <w:szCs w:val="20"/>
                <w:lang w:val="uk-UA"/>
              </w:rPr>
              <w:t>Співзаявники</w:t>
            </w:r>
            <w:proofErr w:type="spellEnd"/>
            <w:r w:rsidRPr="001C02BC">
              <w:rPr>
                <w:i/>
                <w:sz w:val="20"/>
                <w:szCs w:val="20"/>
                <w:lang w:val="uk-UA"/>
              </w:rPr>
              <w:t xml:space="preserve">: </w:t>
            </w:r>
            <w:r w:rsidR="00A44929" w:rsidRPr="001C02BC">
              <w:rPr>
                <w:i/>
                <w:sz w:val="20"/>
                <w:szCs w:val="20"/>
                <w:lang w:val="uk-UA"/>
              </w:rPr>
              <w:t xml:space="preserve">органи влади ОТГ, </w:t>
            </w:r>
            <w:r w:rsidRPr="001C02BC">
              <w:rPr>
                <w:i/>
                <w:sz w:val="20"/>
                <w:szCs w:val="20"/>
                <w:lang w:val="uk-UA"/>
              </w:rPr>
              <w:t>соціально-активне підприємство</w:t>
            </w:r>
            <w:r w:rsidR="0070667E" w:rsidRPr="001C02BC">
              <w:rPr>
                <w:i/>
                <w:sz w:val="20"/>
                <w:szCs w:val="20"/>
                <w:lang w:val="uk-UA"/>
              </w:rPr>
              <w:t>, парк активного сімейного відпочинку «</w:t>
            </w:r>
            <w:r w:rsidR="0070667E" w:rsidRPr="001C02BC">
              <w:rPr>
                <w:i/>
                <w:sz w:val="20"/>
                <w:szCs w:val="20"/>
                <w:lang w:val="en-US"/>
              </w:rPr>
              <w:t>Fiesta</w:t>
            </w:r>
            <w:r w:rsidR="0070667E" w:rsidRPr="001C02BC">
              <w:rPr>
                <w:i/>
                <w:sz w:val="20"/>
                <w:szCs w:val="20"/>
                <w:lang w:val="uk-UA"/>
              </w:rPr>
              <w:t>»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tabs>
                <w:tab w:val="center" w:pos="959"/>
              </w:tabs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3. Призначення проекту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Cs/>
                <w:i/>
                <w:sz w:val="20"/>
                <w:szCs w:val="20"/>
                <w:lang w:val="en-US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Purpose</w:t>
            </w:r>
            <w:proofErr w:type="spellEnd"/>
          </w:p>
        </w:tc>
        <w:tc>
          <w:tcPr>
            <w:tcW w:w="11511" w:type="dxa"/>
          </w:tcPr>
          <w:p w:rsidR="00CF2E08" w:rsidRPr="001C02BC" w:rsidRDefault="00CF2E08" w:rsidP="001C02BC">
            <w:pPr>
              <w:spacing w:after="0"/>
              <w:jc w:val="both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Чисельність населення Луганської області на 01 січня 2016 р. становить 2205,4 тис. осіб. У наслідок збройного </w:t>
            </w:r>
            <w:r w:rsidR="00FF559A" w:rsidRPr="001C02BC">
              <w:rPr>
                <w:sz w:val="20"/>
                <w:szCs w:val="20"/>
                <w:lang w:val="uk-UA" w:eastAsia="uk-UA"/>
              </w:rPr>
              <w:t>конфлікту</w:t>
            </w:r>
            <w:r w:rsidRPr="001C02BC">
              <w:rPr>
                <w:sz w:val="20"/>
                <w:szCs w:val="20"/>
                <w:lang w:val="uk-UA" w:eastAsia="uk-UA"/>
              </w:rPr>
              <w:t xml:space="preserve">, на </w:t>
            </w:r>
            <w:r w:rsidR="00FF559A" w:rsidRPr="001C02BC">
              <w:rPr>
                <w:sz w:val="20"/>
                <w:szCs w:val="20"/>
                <w:lang w:val="uk-UA" w:eastAsia="uk-UA"/>
              </w:rPr>
              <w:t>територіях</w:t>
            </w:r>
            <w:r w:rsidRPr="001C02BC">
              <w:rPr>
                <w:sz w:val="20"/>
                <w:szCs w:val="20"/>
                <w:lang w:val="uk-UA" w:eastAsia="uk-UA"/>
              </w:rPr>
              <w:t xml:space="preserve"> області, підконтрольних українській владі, на початок 2016р. зареєструвалися та отримали статус ВПО понад 248,5 тис осіб (дані з стратегії розвитку Луганської області до 2020р.). Значна кількість ВПО розміщається на території громади м.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Сєвєродонецька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, який є тимчасовим обласним центром Луганської області ( до початку АТО населення міста складало 121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тис.осіб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, з них дітей віком до 17 років – 25,2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тис.осіб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). Станом на 2016р. у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Сєвєродонецьку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офіційно зареєстровано близько 50 тис. ВПО, з них дітей – 16,5 тис., такий масовий наплив біженців загострив соціальні проблеми. </w:t>
            </w:r>
          </w:p>
          <w:p w:rsidR="00CF2E08" w:rsidRPr="001C02BC" w:rsidRDefault="001C02BC" w:rsidP="00CF2E08">
            <w:pPr>
              <w:spacing w:after="0"/>
              <w:ind w:firstLine="360"/>
              <w:jc w:val="both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До </w:t>
            </w:r>
            <w:r w:rsidR="00CF2E08" w:rsidRPr="001C02BC">
              <w:rPr>
                <w:sz w:val="20"/>
                <w:szCs w:val="20"/>
                <w:lang w:val="uk-UA" w:eastAsia="uk-UA"/>
              </w:rPr>
              <w:t xml:space="preserve">міста </w:t>
            </w:r>
            <w:proofErr w:type="spellStart"/>
            <w:r w:rsidR="00CF2E08" w:rsidRPr="001C02BC">
              <w:rPr>
                <w:sz w:val="20"/>
                <w:szCs w:val="20"/>
                <w:lang w:val="uk-UA" w:eastAsia="uk-UA"/>
              </w:rPr>
              <w:t>Сєвєродонецьк</w:t>
            </w:r>
            <w:proofErr w:type="spellEnd"/>
            <w:r w:rsidR="00CF2E08" w:rsidRPr="001C02BC">
              <w:rPr>
                <w:sz w:val="20"/>
                <w:szCs w:val="20"/>
                <w:lang w:val="uk-UA" w:eastAsia="uk-UA"/>
              </w:rPr>
              <w:t xml:space="preserve"> було перенесено з непідконтрольних територій ряд дитячих будинків, дошкільних, шкільних, професійних та вищих навчальних закладів. В період літніх канікул ситуація із оздоровленням та відпочинком дітей значно ускладнюється в наслідок того що: частина оздоровчих закладів та баз відпочинку залишилася на непідконтрольній території, інша частина – постраждала внаслідок бойових дій або зайнята військо службовцями збройних сил України. Деякі з закладів, такі як позаміські ДЗОВ «Альянс» комунальної форми власності та Ім. Ю.О.Гагаріна </w:t>
            </w:r>
            <w:proofErr w:type="spellStart"/>
            <w:r w:rsidR="00CF2E08" w:rsidRPr="001C02BC">
              <w:rPr>
                <w:sz w:val="20"/>
                <w:szCs w:val="20"/>
                <w:lang w:val="uk-UA" w:eastAsia="uk-UA"/>
              </w:rPr>
              <w:t>ПрАТ</w:t>
            </w:r>
            <w:proofErr w:type="spellEnd"/>
            <w:r w:rsidR="00CF2E08" w:rsidRPr="001C02BC">
              <w:rPr>
                <w:sz w:val="20"/>
                <w:szCs w:val="20"/>
                <w:lang w:val="uk-UA" w:eastAsia="uk-UA"/>
              </w:rPr>
              <w:t xml:space="preserve"> «</w:t>
            </w:r>
            <w:proofErr w:type="spellStart"/>
            <w:r w:rsidR="00CF2E08" w:rsidRPr="001C02BC">
              <w:rPr>
                <w:sz w:val="20"/>
                <w:szCs w:val="20"/>
                <w:lang w:val="uk-UA" w:eastAsia="uk-UA"/>
              </w:rPr>
              <w:t>Сєвєродонецьке</w:t>
            </w:r>
            <w:proofErr w:type="spellEnd"/>
            <w:r w:rsidR="00CF2E08" w:rsidRPr="001C02BC">
              <w:rPr>
                <w:sz w:val="20"/>
                <w:szCs w:val="20"/>
                <w:lang w:val="uk-UA" w:eastAsia="uk-UA"/>
              </w:rPr>
              <w:t xml:space="preserve"> об’єднання Азот» з 2014 року не працювали, не отримували фінансування та знаходяться у занедбаному стані. На даний час більшість дітей проводить улітку свій час на території шкільних таборів і незначна частка </w:t>
            </w:r>
            <w:proofErr w:type="spellStart"/>
            <w:r w:rsidR="00CF2E08" w:rsidRPr="001C02BC">
              <w:rPr>
                <w:sz w:val="20"/>
                <w:szCs w:val="20"/>
                <w:lang w:val="uk-UA" w:eastAsia="uk-UA"/>
              </w:rPr>
              <w:t>виїзжаєв</w:t>
            </w:r>
            <w:proofErr w:type="spellEnd"/>
            <w:r w:rsidR="00CF2E08" w:rsidRPr="001C02BC">
              <w:rPr>
                <w:sz w:val="20"/>
                <w:szCs w:val="20"/>
                <w:lang w:val="uk-UA" w:eastAsia="uk-UA"/>
              </w:rPr>
              <w:t xml:space="preserve"> інші установи за межі області.</w:t>
            </w:r>
          </w:p>
          <w:p w:rsidR="00CF2E08" w:rsidRPr="001C02BC" w:rsidRDefault="00CF2E08" w:rsidP="00CF2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Отже, проблема полягає у протиріччі між потребою у сезонному, щорічному оздоровленні та відпочинку значної кількості дітей і відсутністю належних умов її реалізації в як на території області так і безпосередньо на</w:t>
            </w:r>
            <w:r w:rsidR="00FF559A">
              <w:rPr>
                <w:sz w:val="20"/>
                <w:szCs w:val="20"/>
                <w:lang w:val="uk-UA" w:eastAsia="uk-UA"/>
              </w:rPr>
              <w:t xml:space="preserve"> території міста </w:t>
            </w:r>
            <w:proofErr w:type="spellStart"/>
            <w:r w:rsidR="00FF559A">
              <w:rPr>
                <w:sz w:val="20"/>
                <w:szCs w:val="20"/>
                <w:lang w:val="uk-UA" w:eastAsia="uk-UA"/>
              </w:rPr>
              <w:t>Сєвєродонецьк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>.</w:t>
            </w:r>
          </w:p>
          <w:p w:rsidR="00CF2E08" w:rsidRPr="001C02BC" w:rsidRDefault="00CF2E08" w:rsidP="00CF2E08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1C02BC">
              <w:rPr>
                <w:sz w:val="20"/>
                <w:szCs w:val="20"/>
              </w:rPr>
              <w:t xml:space="preserve">Дана проблема стосується не тільки м. </w:t>
            </w:r>
            <w:proofErr w:type="spellStart"/>
            <w:r w:rsidRPr="001C02BC">
              <w:rPr>
                <w:sz w:val="20"/>
                <w:szCs w:val="20"/>
              </w:rPr>
              <w:t>Сєвєродонецьк</w:t>
            </w:r>
            <w:proofErr w:type="spellEnd"/>
            <w:r w:rsidRPr="001C02BC">
              <w:rPr>
                <w:sz w:val="20"/>
                <w:szCs w:val="20"/>
              </w:rPr>
              <w:t xml:space="preserve">, але і інших крупних міст Луганської області (Лисичанськ, Рубіжне, </w:t>
            </w:r>
            <w:proofErr w:type="spellStart"/>
            <w:r w:rsidRPr="001C02BC">
              <w:rPr>
                <w:sz w:val="20"/>
                <w:szCs w:val="20"/>
              </w:rPr>
              <w:t>Старобільск</w:t>
            </w:r>
            <w:proofErr w:type="spellEnd"/>
            <w:r w:rsidRPr="001C02BC">
              <w:rPr>
                <w:sz w:val="20"/>
                <w:szCs w:val="20"/>
              </w:rPr>
              <w:t xml:space="preserve">, Сватове), де спостерігається аналогічна ситуація – закриття або недоступність для використання по призначенню закладів орієнтованих на оздоровлення та відпочинок дітей та підлітків при наявності значної </w:t>
            </w:r>
            <w:proofErr w:type="spellStart"/>
            <w:r w:rsidRPr="001C02BC">
              <w:rPr>
                <w:sz w:val="20"/>
                <w:szCs w:val="20"/>
              </w:rPr>
              <w:t>кількость</w:t>
            </w:r>
            <w:proofErr w:type="spellEnd"/>
            <w:r w:rsidRPr="001C02BC">
              <w:rPr>
                <w:sz w:val="20"/>
                <w:szCs w:val="20"/>
              </w:rPr>
              <w:t xml:space="preserve"> дошкільних,  шкільних та позашкільних навчальних закладів з відповідним контингентом. </w:t>
            </w:r>
            <w:r w:rsidRPr="001C02BC">
              <w:rPr>
                <w:sz w:val="20"/>
                <w:szCs w:val="20"/>
                <w:lang w:val="ru-RU"/>
              </w:rPr>
              <w:t xml:space="preserve">Але у м.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Сєвєродонецьк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ця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проблема особливо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заостренна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зв’язку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з </w:t>
            </w:r>
            <w:proofErr w:type="gramStart"/>
            <w:r w:rsidRPr="001C02BC">
              <w:rPr>
                <w:sz w:val="20"/>
                <w:szCs w:val="20"/>
                <w:lang w:val="ru-RU"/>
              </w:rPr>
              <w:t>высокою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концетрацією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ВПО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значна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доля з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складають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</w:t>
            </w:r>
            <w:r w:rsidR="001C02BC" w:rsidRPr="001C02BC">
              <w:rPr>
                <w:sz w:val="20"/>
                <w:szCs w:val="20"/>
                <w:lang w:val="ru-RU"/>
              </w:rPr>
              <w:t>іти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найближчий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принципове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вирішення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цієї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прогнозується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Зміни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політичному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плані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C02BC">
              <w:rPr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 w:rsidRPr="001C02BC">
              <w:rPr>
                <w:sz w:val="20"/>
                <w:szCs w:val="20"/>
                <w:lang w:val="ru-RU"/>
              </w:rPr>
              <w:t>припиненя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бойових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дій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повернення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до мирного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відповідними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наслідками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) мало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ймовірні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Зусілля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влади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відновлення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побудову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відповідних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закладів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потребує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значних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коштів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тому буде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вирішуватися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частково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і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протязі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довгово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часу (так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наприклад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міською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цільовою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комплексною программою «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Оздоровлення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відпочинок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2017 </w:t>
            </w:r>
            <w:proofErr w:type="spellStart"/>
            <w:proofErr w:type="gramStart"/>
            <w:r w:rsidRPr="001C02BC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ік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передбачено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питань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цьому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напрямку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сумму 199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тис.грн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за умов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наявності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бюджеті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адже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подібних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заходів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у 2015 та 2014 р.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склало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0 грн.). Тому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вважати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означена проблема є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сталою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потребує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комплексу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інноваційних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C02BC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ішень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вирішення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зменшення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впливу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соціальний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стан.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невирішення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відпочинку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оздоровлення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вплинути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тільки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показники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захворюванності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молоді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але й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показники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міграції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виїзд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родин до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регіонів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більш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комфортними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умовами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проживання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), </w:t>
            </w:r>
            <w:proofErr w:type="spellStart"/>
            <w:proofErr w:type="gramStart"/>
            <w:r w:rsidRPr="001C02B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ідвищення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психологічної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напруженності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числа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конфліктів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як в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середині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родин так і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між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ВПО і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місцевою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громадою,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показників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злочинів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серед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C02B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ідлітків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інш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</w:t>
            </w:r>
          </w:p>
          <w:p w:rsidR="00CF2E08" w:rsidRPr="001C02BC" w:rsidRDefault="00CF2E08" w:rsidP="00CF2E08">
            <w:pPr>
              <w:pStyle w:val="Default"/>
              <w:ind w:firstLine="462"/>
              <w:jc w:val="both"/>
              <w:rPr>
                <w:sz w:val="20"/>
                <w:szCs w:val="20"/>
              </w:rPr>
            </w:pPr>
            <w:r w:rsidRPr="001C02BC">
              <w:rPr>
                <w:bCs/>
                <w:sz w:val="20"/>
                <w:szCs w:val="20"/>
              </w:rPr>
              <w:t>Вирішення означеної проблеми відповідає цілям та напрямкам діяльності</w:t>
            </w:r>
            <w:r w:rsidRPr="001C02BC">
              <w:rPr>
                <w:b/>
                <w:bCs/>
                <w:sz w:val="20"/>
                <w:szCs w:val="20"/>
              </w:rPr>
              <w:t xml:space="preserve"> </w:t>
            </w:r>
            <w:r w:rsidRPr="001C02BC">
              <w:rPr>
                <w:sz w:val="20"/>
                <w:szCs w:val="20"/>
              </w:rPr>
              <w:t xml:space="preserve">міською цільовою комплексною програмою «Оздоровлення та відпочинок дітей на 2017 рік», Програмі економічного і соціального розвитку Луганської області на 2016-2017 рік (в аспектах розділів – соціальне забезпечення, охорона здоров’я, освіта, культура, спорт, створення умов соціалізації сім’ї та </w:t>
            </w:r>
            <w:r w:rsidRPr="001C02BC">
              <w:rPr>
                <w:sz w:val="20"/>
                <w:szCs w:val="20"/>
              </w:rPr>
              <w:lastRenderedPageBreak/>
              <w:t xml:space="preserve">молоді, туристично-рекреаційна галузь), Стратегія розвитку Луганської області до 2020 року (в аспектах розділів - населення та демографія, якість життя; підвищення безпеки життя та побудова миру;  забезпечення суспільного діалогу та підвищення соціальної згуртованості; </w:t>
            </w:r>
            <w:r w:rsidRPr="001C0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2BC">
              <w:rPr>
                <w:sz w:val="20"/>
                <w:szCs w:val="20"/>
              </w:rPr>
              <w:t>посилення спроможності громад до інтеграції ВПО;  відновлення та розбудова інфраструктури з надання соціальних послуг), Державній стратегії регіонального розвитку на період до 2020 року, а саме цілі 2. «Територіальна соціально-економічна інтеграція і просторовий розвиток» в аспектах:</w:t>
            </w:r>
          </w:p>
          <w:p w:rsidR="00CF2E08" w:rsidRPr="001C02BC" w:rsidRDefault="00CF2E08" w:rsidP="00CF2E08">
            <w:pPr>
              <w:pStyle w:val="Default"/>
              <w:jc w:val="both"/>
              <w:rPr>
                <w:sz w:val="20"/>
                <w:szCs w:val="20"/>
              </w:rPr>
            </w:pPr>
            <w:r w:rsidRPr="001C02BC">
              <w:rPr>
                <w:sz w:val="20"/>
                <w:szCs w:val="20"/>
              </w:rPr>
              <w:t>- Виконання завдань і здійснення заходів, спрямованих на вирішення актуальних проблемних питань Донецької та Луганської областей, Автономної Республіки Крим та м. Севастополя. (Відновлення безпеки життєдіяльності та економічна реабілітація Донецької та Луганської областей);</w:t>
            </w:r>
          </w:p>
          <w:p w:rsidR="00CF2E08" w:rsidRPr="001C02BC" w:rsidRDefault="00CF2E08" w:rsidP="00CF2E08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1C02BC">
              <w:rPr>
                <w:sz w:val="20"/>
                <w:szCs w:val="20"/>
              </w:rPr>
              <w:t>- Забезпечення комфортного та безпечного життєвого середовища для людини незалежно від місця її проживання</w:t>
            </w:r>
            <w:r w:rsidRPr="001C02BC">
              <w:rPr>
                <w:sz w:val="20"/>
                <w:szCs w:val="20"/>
                <w:lang w:val="ru-RU"/>
              </w:rPr>
              <w:t>. (</w:t>
            </w:r>
            <w:r w:rsidRPr="001C02BC">
              <w:rPr>
                <w:sz w:val="20"/>
                <w:szCs w:val="20"/>
              </w:rPr>
              <w:t>Створення умов для розв’язання нагальних проблем переселенців</w:t>
            </w:r>
            <w:r w:rsidRPr="001C02BC">
              <w:rPr>
                <w:sz w:val="20"/>
                <w:szCs w:val="20"/>
                <w:lang w:val="ru-RU"/>
              </w:rPr>
              <w:t>,</w:t>
            </w:r>
            <w:r w:rsidRPr="001C02BC">
              <w:rPr>
                <w:sz w:val="20"/>
                <w:szCs w:val="20"/>
              </w:rPr>
              <w:t xml:space="preserve"> Створення умов для формування здорового населення</w:t>
            </w:r>
            <w:r w:rsidRPr="001C02BC">
              <w:rPr>
                <w:sz w:val="20"/>
                <w:szCs w:val="20"/>
                <w:lang w:val="ru-RU"/>
              </w:rPr>
              <w:t>,</w:t>
            </w:r>
            <w:r w:rsidRPr="001C02BC">
              <w:rPr>
                <w:sz w:val="20"/>
                <w:szCs w:val="20"/>
              </w:rPr>
              <w:t xml:space="preserve"> </w:t>
            </w:r>
            <w:proofErr w:type="gramStart"/>
            <w:r w:rsidRPr="001C02BC">
              <w:rPr>
                <w:sz w:val="20"/>
                <w:szCs w:val="20"/>
              </w:rPr>
              <w:t>Соц</w:t>
            </w:r>
            <w:proofErr w:type="gramEnd"/>
            <w:r w:rsidRPr="001C02BC">
              <w:rPr>
                <w:sz w:val="20"/>
                <w:szCs w:val="20"/>
              </w:rPr>
              <w:t>іокультурний розвиток</w:t>
            </w:r>
            <w:r w:rsidRPr="001C02BC">
              <w:rPr>
                <w:sz w:val="20"/>
                <w:szCs w:val="20"/>
                <w:lang w:val="ru-RU"/>
              </w:rPr>
              <w:t>).</w:t>
            </w:r>
          </w:p>
          <w:p w:rsidR="00CF2E08" w:rsidRPr="001C02BC" w:rsidRDefault="00CF2E08" w:rsidP="00FF559A">
            <w:pPr>
              <w:spacing w:before="40" w:after="40" w:line="240" w:lineRule="auto"/>
              <w:ind w:left="34"/>
              <w:rPr>
                <w:rStyle w:val="23"/>
                <w:rFonts w:ascii="Calibri" w:hAnsi="Calibri" w:cs="Times New Roman"/>
                <w:bCs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sz w:val="20"/>
                <w:szCs w:val="20"/>
              </w:rPr>
              <w:t>Законодавче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02BC">
              <w:rPr>
                <w:sz w:val="20"/>
                <w:szCs w:val="20"/>
              </w:rPr>
              <w:t>п</w:t>
            </w:r>
            <w:proofErr w:type="gramEnd"/>
            <w:r w:rsidRPr="001C02BC">
              <w:rPr>
                <w:sz w:val="20"/>
                <w:szCs w:val="20"/>
              </w:rPr>
              <w:t>ідгрунття</w:t>
            </w:r>
            <w:proofErr w:type="spellEnd"/>
            <w:r w:rsidRPr="001C02BC">
              <w:rPr>
                <w:sz w:val="20"/>
                <w:szCs w:val="20"/>
              </w:rPr>
              <w:t>:</w:t>
            </w:r>
            <w:r w:rsidRPr="001C0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Закони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України</w:t>
            </w:r>
            <w:proofErr w:type="spellEnd"/>
            <w:r w:rsidRPr="001C02BC">
              <w:rPr>
                <w:sz w:val="20"/>
                <w:szCs w:val="20"/>
              </w:rPr>
              <w:t xml:space="preserve"> «Про </w:t>
            </w:r>
            <w:proofErr w:type="spellStart"/>
            <w:r w:rsidRPr="001C02BC">
              <w:rPr>
                <w:sz w:val="20"/>
                <w:szCs w:val="20"/>
              </w:rPr>
              <w:t>оздоровлення</w:t>
            </w:r>
            <w:proofErr w:type="spellEnd"/>
            <w:r w:rsidRPr="001C02BC">
              <w:rPr>
                <w:sz w:val="20"/>
                <w:szCs w:val="20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</w:rPr>
              <w:t>відпочинок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дітей</w:t>
            </w:r>
            <w:proofErr w:type="spellEnd"/>
            <w:r w:rsidRPr="001C02BC">
              <w:rPr>
                <w:sz w:val="20"/>
                <w:szCs w:val="20"/>
              </w:rPr>
              <w:t xml:space="preserve">», «Про </w:t>
            </w:r>
            <w:proofErr w:type="spellStart"/>
            <w:r w:rsidRPr="001C02BC">
              <w:rPr>
                <w:sz w:val="20"/>
                <w:szCs w:val="20"/>
              </w:rPr>
              <w:t>охорону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дитинства</w:t>
            </w:r>
            <w:proofErr w:type="spellEnd"/>
            <w:r w:rsidRPr="001C02BC">
              <w:rPr>
                <w:sz w:val="20"/>
                <w:szCs w:val="20"/>
              </w:rPr>
              <w:t xml:space="preserve">», «Про </w:t>
            </w:r>
            <w:proofErr w:type="spellStart"/>
            <w:r w:rsidRPr="001C02BC">
              <w:rPr>
                <w:sz w:val="20"/>
                <w:szCs w:val="20"/>
              </w:rPr>
              <w:t>позашкільну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освіту</w:t>
            </w:r>
            <w:proofErr w:type="spellEnd"/>
            <w:r w:rsidRPr="001C02BC">
              <w:rPr>
                <w:sz w:val="20"/>
                <w:szCs w:val="20"/>
              </w:rPr>
              <w:t xml:space="preserve">», «Про </w:t>
            </w:r>
            <w:proofErr w:type="spellStart"/>
            <w:r w:rsidRPr="001C02BC">
              <w:rPr>
                <w:sz w:val="20"/>
                <w:szCs w:val="20"/>
              </w:rPr>
              <w:t>Загальнодержавну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програму</w:t>
            </w:r>
            <w:proofErr w:type="spellEnd"/>
            <w:r w:rsidRPr="001C02BC">
              <w:rPr>
                <w:sz w:val="20"/>
                <w:szCs w:val="20"/>
              </w:rPr>
              <w:t xml:space="preserve"> «</w:t>
            </w:r>
            <w:proofErr w:type="spellStart"/>
            <w:r w:rsidRPr="001C02BC">
              <w:rPr>
                <w:sz w:val="20"/>
                <w:szCs w:val="20"/>
              </w:rPr>
              <w:t>Національний</w:t>
            </w:r>
            <w:proofErr w:type="spellEnd"/>
            <w:r w:rsidRPr="001C02BC">
              <w:rPr>
                <w:sz w:val="20"/>
                <w:szCs w:val="20"/>
              </w:rPr>
              <w:t xml:space="preserve"> план </w:t>
            </w:r>
            <w:proofErr w:type="spellStart"/>
            <w:r w:rsidRPr="001C02BC">
              <w:rPr>
                <w:sz w:val="20"/>
                <w:szCs w:val="20"/>
              </w:rPr>
              <w:t>дій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щодо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реалізації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Конвенції</w:t>
            </w:r>
            <w:proofErr w:type="spellEnd"/>
            <w:r w:rsidRPr="001C02BC">
              <w:rPr>
                <w:sz w:val="20"/>
                <w:szCs w:val="20"/>
              </w:rPr>
              <w:t xml:space="preserve"> ООН про права </w:t>
            </w:r>
            <w:proofErr w:type="spellStart"/>
            <w:r w:rsidRPr="001C02BC">
              <w:rPr>
                <w:sz w:val="20"/>
                <w:szCs w:val="20"/>
              </w:rPr>
              <w:t>дитини</w:t>
            </w:r>
            <w:proofErr w:type="spellEnd"/>
            <w:r w:rsidRPr="001C02BC">
              <w:rPr>
                <w:sz w:val="20"/>
                <w:szCs w:val="20"/>
              </w:rPr>
              <w:t xml:space="preserve">» на </w:t>
            </w:r>
            <w:proofErr w:type="spellStart"/>
            <w:r w:rsidRPr="001C02BC">
              <w:rPr>
                <w:sz w:val="20"/>
                <w:szCs w:val="20"/>
              </w:rPr>
              <w:t>період</w:t>
            </w:r>
            <w:proofErr w:type="spellEnd"/>
            <w:r w:rsidRPr="001C02BC">
              <w:rPr>
                <w:sz w:val="20"/>
                <w:szCs w:val="20"/>
              </w:rPr>
              <w:t xml:space="preserve"> до 2016 року», постанова </w:t>
            </w:r>
            <w:proofErr w:type="spellStart"/>
            <w:r w:rsidRPr="001C02BC">
              <w:rPr>
                <w:sz w:val="20"/>
                <w:szCs w:val="20"/>
              </w:rPr>
              <w:t>Кабінету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Міні</w:t>
            </w:r>
            <w:proofErr w:type="gramStart"/>
            <w:r w:rsidRPr="001C02BC">
              <w:rPr>
                <w:sz w:val="20"/>
                <w:szCs w:val="20"/>
              </w:rPr>
              <w:t>стр</w:t>
            </w:r>
            <w:proofErr w:type="gramEnd"/>
            <w:r w:rsidRPr="001C02BC">
              <w:rPr>
                <w:sz w:val="20"/>
                <w:szCs w:val="20"/>
              </w:rPr>
              <w:t>ів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України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від</w:t>
            </w:r>
            <w:proofErr w:type="spellEnd"/>
            <w:r w:rsidRPr="001C02BC">
              <w:rPr>
                <w:sz w:val="20"/>
                <w:szCs w:val="20"/>
              </w:rPr>
              <w:t xml:space="preserve"> 14 </w:t>
            </w:r>
            <w:proofErr w:type="spellStart"/>
            <w:r w:rsidRPr="001C02BC">
              <w:rPr>
                <w:sz w:val="20"/>
                <w:szCs w:val="20"/>
              </w:rPr>
              <w:t>квітня</w:t>
            </w:r>
            <w:proofErr w:type="spellEnd"/>
            <w:r w:rsidRPr="001C02BC">
              <w:rPr>
                <w:sz w:val="20"/>
                <w:szCs w:val="20"/>
              </w:rPr>
              <w:t xml:space="preserve"> 1997 року № 323 «Про </w:t>
            </w:r>
            <w:proofErr w:type="spellStart"/>
            <w:r w:rsidRPr="001C02BC">
              <w:rPr>
                <w:sz w:val="20"/>
                <w:szCs w:val="20"/>
              </w:rPr>
              <w:t>організаційне</w:t>
            </w:r>
            <w:proofErr w:type="spellEnd"/>
            <w:r w:rsidRPr="001C02BC">
              <w:rPr>
                <w:sz w:val="20"/>
                <w:szCs w:val="20"/>
              </w:rPr>
              <w:t xml:space="preserve"> і </w:t>
            </w:r>
            <w:proofErr w:type="spellStart"/>
            <w:r w:rsidRPr="001C02BC">
              <w:rPr>
                <w:sz w:val="20"/>
                <w:szCs w:val="20"/>
              </w:rPr>
              <w:t>фінансове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забезпечення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відпочинку</w:t>
            </w:r>
            <w:proofErr w:type="spellEnd"/>
            <w:r w:rsidRPr="001C02BC">
              <w:rPr>
                <w:sz w:val="20"/>
                <w:szCs w:val="20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</w:rPr>
              <w:t>оздоровлення</w:t>
            </w:r>
            <w:proofErr w:type="spellEnd"/>
            <w:r w:rsidRPr="001C02BC">
              <w:rPr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</w:rPr>
              <w:t>дітей</w:t>
            </w:r>
            <w:proofErr w:type="spellEnd"/>
            <w:r w:rsidRPr="001C02BC">
              <w:rPr>
                <w:sz w:val="20"/>
                <w:szCs w:val="20"/>
              </w:rPr>
              <w:t xml:space="preserve"> в </w:t>
            </w:r>
            <w:proofErr w:type="spellStart"/>
            <w:r w:rsidRPr="001C02BC">
              <w:rPr>
                <w:sz w:val="20"/>
                <w:szCs w:val="20"/>
              </w:rPr>
              <w:t>Україні</w:t>
            </w:r>
            <w:proofErr w:type="spellEnd"/>
            <w:r w:rsidRPr="001C02BC">
              <w:rPr>
                <w:sz w:val="20"/>
                <w:szCs w:val="20"/>
              </w:rPr>
              <w:t>».</w:t>
            </w:r>
          </w:p>
        </w:tc>
      </w:tr>
      <w:tr w:rsidR="005D530E" w:rsidRPr="00FF559A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lastRenderedPageBreak/>
              <w:t>4. Мета проекту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Objectives</w:t>
            </w:r>
            <w:proofErr w:type="spellEnd"/>
          </w:p>
        </w:tc>
        <w:tc>
          <w:tcPr>
            <w:tcW w:w="11511" w:type="dxa"/>
          </w:tcPr>
          <w:p w:rsidR="0070667E" w:rsidRPr="001C02BC" w:rsidRDefault="00FD2646" w:rsidP="002E3370">
            <w:pPr>
              <w:spacing w:before="40" w:after="40" w:line="240" w:lineRule="auto"/>
              <w:ind w:left="34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sz w:val="20"/>
                <w:szCs w:val="20"/>
                <w:lang w:val="uk-UA"/>
              </w:rPr>
              <w:t xml:space="preserve">Створення на базі інфраструктури існуючих паркових зон м. </w:t>
            </w:r>
            <w:proofErr w:type="spellStart"/>
            <w:r w:rsidRPr="001C02BC">
              <w:rPr>
                <w:bCs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 xml:space="preserve"> </w:t>
            </w:r>
            <w:r w:rsidRPr="001C02BC">
              <w:rPr>
                <w:bCs/>
                <w:sz w:val="20"/>
                <w:szCs w:val="20"/>
                <w:lang w:val="uk-UA"/>
              </w:rPr>
              <w:t>мережі тематичних літніх (сезонних) наметових таборів з денним режимом дня роботи для організації дозвілля, відпочинку та оздоровлення дітей і підлітків (до 350 осіб на добу), з дотриманням термінів реалізації проекту - до 3 місяців ( березень,квітень, травень)  або початком функціонування продукту проекту не пізніше 1.06.201</w:t>
            </w:r>
            <w:r w:rsidR="00BC4FEE" w:rsidRPr="001C02BC">
              <w:rPr>
                <w:bCs/>
                <w:sz w:val="20"/>
                <w:szCs w:val="20"/>
                <w:lang w:val="uk-UA"/>
              </w:rPr>
              <w:t>8</w:t>
            </w:r>
            <w:r w:rsidRPr="001C02BC">
              <w:rPr>
                <w:bCs/>
                <w:sz w:val="20"/>
                <w:szCs w:val="20"/>
                <w:lang w:val="uk-UA"/>
              </w:rPr>
              <w:t>р. та бюджетом проекту до 200 тис грн.</w:t>
            </w:r>
            <w:r w:rsidR="0026365F" w:rsidRPr="001C02BC">
              <w:rPr>
                <w:bCs/>
                <w:sz w:val="20"/>
                <w:szCs w:val="20"/>
                <w:lang w:val="uk-UA"/>
              </w:rPr>
              <w:t xml:space="preserve"> із залученням різних джерел фінансування.</w:t>
            </w:r>
          </w:p>
          <w:p w:rsidR="0070667E" w:rsidRPr="001C02BC" w:rsidRDefault="00D23A4A" w:rsidP="002E3370">
            <w:pPr>
              <w:spacing w:before="40" w:after="40" w:line="240" w:lineRule="auto"/>
              <w:ind w:left="34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en-US"/>
              </w:rPr>
              <w:t>S</w:t>
            </w:r>
            <w:r w:rsidRPr="00FF559A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559A">
              <w:rPr>
                <w:i/>
                <w:sz w:val="20"/>
                <w:szCs w:val="20"/>
                <w:lang w:val="uk-UA"/>
              </w:rPr>
              <w:t>-</w:t>
            </w:r>
            <w:r w:rsidR="00051CC0" w:rsidRPr="001C02BC">
              <w:rPr>
                <w:i/>
                <w:sz w:val="20"/>
                <w:szCs w:val="20"/>
                <w:lang w:val="uk-UA"/>
              </w:rPr>
              <w:t>Конкретність</w:t>
            </w:r>
            <w:proofErr w:type="spellEnd"/>
            <w:r w:rsidR="00051CC0" w:rsidRPr="001C02BC">
              <w:rPr>
                <w:i/>
                <w:sz w:val="20"/>
                <w:szCs w:val="20"/>
                <w:lang w:val="uk-UA"/>
              </w:rPr>
              <w:t xml:space="preserve">, специфічність: </w:t>
            </w:r>
            <w:r w:rsidR="00051CC0" w:rsidRPr="001C02BC">
              <w:rPr>
                <w:bCs/>
                <w:sz w:val="20"/>
                <w:szCs w:val="20"/>
                <w:lang w:val="uk-UA"/>
              </w:rPr>
              <w:t xml:space="preserve">створення сезонних наметових таборів для </w:t>
            </w:r>
            <w:proofErr w:type="spellStart"/>
            <w:r w:rsidR="00051CC0" w:rsidRPr="001C02BC">
              <w:rPr>
                <w:bCs/>
                <w:sz w:val="20"/>
                <w:szCs w:val="20"/>
                <w:lang w:val="uk-UA"/>
              </w:rPr>
              <w:t>для</w:t>
            </w:r>
            <w:proofErr w:type="spellEnd"/>
            <w:r w:rsidR="00051CC0" w:rsidRPr="001C02BC">
              <w:rPr>
                <w:bCs/>
                <w:sz w:val="20"/>
                <w:szCs w:val="20"/>
                <w:lang w:val="uk-UA"/>
              </w:rPr>
              <w:t xml:space="preserve"> організації дозвілля, відпочинку та оздоровлення дітей і підлітків;</w:t>
            </w:r>
          </w:p>
          <w:p w:rsidR="00051CC0" w:rsidRPr="001C02BC" w:rsidRDefault="00D23A4A" w:rsidP="002E3370">
            <w:pPr>
              <w:spacing w:before="40" w:after="40" w:line="240" w:lineRule="auto"/>
              <w:ind w:left="34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en-US"/>
              </w:rPr>
              <w:t>M</w:t>
            </w:r>
            <w:r w:rsidRPr="001C02BC">
              <w:rPr>
                <w:i/>
                <w:sz w:val="20"/>
                <w:szCs w:val="20"/>
              </w:rPr>
              <w:t>-</w:t>
            </w:r>
            <w:proofErr w:type="spellStart"/>
            <w:r w:rsidR="00A21CB8" w:rsidRPr="001C02BC">
              <w:rPr>
                <w:i/>
                <w:sz w:val="20"/>
                <w:szCs w:val="20"/>
                <w:lang w:val="uk-UA"/>
              </w:rPr>
              <w:t>Вимірювальність</w:t>
            </w:r>
            <w:proofErr w:type="spellEnd"/>
            <w:r w:rsidR="00A21CB8" w:rsidRPr="001C02BC">
              <w:rPr>
                <w:i/>
                <w:sz w:val="20"/>
                <w:szCs w:val="20"/>
                <w:lang w:val="uk-UA"/>
              </w:rPr>
              <w:t xml:space="preserve">: </w:t>
            </w:r>
            <w:r w:rsidR="00EA5CFB" w:rsidRPr="001C02BC">
              <w:rPr>
                <w:i/>
                <w:sz w:val="20"/>
                <w:szCs w:val="20"/>
                <w:lang w:val="uk-UA"/>
              </w:rPr>
              <w:t xml:space="preserve">створення </w:t>
            </w:r>
            <w:r w:rsidR="00EA5CFB" w:rsidRPr="001C02BC">
              <w:rPr>
                <w:sz w:val="20"/>
                <w:szCs w:val="20"/>
                <w:lang w:val="uk-UA"/>
              </w:rPr>
              <w:t xml:space="preserve">не менш 3 </w:t>
            </w:r>
            <w:proofErr w:type="spellStart"/>
            <w:r w:rsidR="00EA5CFB" w:rsidRPr="001C02BC">
              <w:rPr>
                <w:sz w:val="20"/>
                <w:szCs w:val="20"/>
                <w:lang w:val="uk-UA"/>
              </w:rPr>
              <w:t>локацій</w:t>
            </w:r>
            <w:proofErr w:type="spellEnd"/>
            <w:r w:rsidR="00EA5CFB" w:rsidRPr="001C02BC">
              <w:rPr>
                <w:sz w:val="20"/>
                <w:szCs w:val="20"/>
                <w:lang w:val="uk-UA"/>
              </w:rPr>
              <w:t>, з кількістю відвідувачів до 350 осіб на добу.</w:t>
            </w:r>
          </w:p>
          <w:p w:rsidR="0070667E" w:rsidRPr="001C02BC" w:rsidRDefault="00D23A4A" w:rsidP="00081315">
            <w:pPr>
              <w:spacing w:before="40" w:after="40" w:line="240" w:lineRule="auto"/>
              <w:ind w:left="34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en-US"/>
              </w:rPr>
              <w:t>A</w:t>
            </w:r>
            <w:proofErr w:type="spellStart"/>
            <w:r w:rsidRPr="001C02BC">
              <w:rPr>
                <w:i/>
                <w:sz w:val="20"/>
                <w:szCs w:val="20"/>
                <w:lang w:val="uk-UA"/>
              </w:rPr>
              <w:t>-</w:t>
            </w:r>
            <w:r w:rsidR="00D8065F" w:rsidRPr="001C02BC">
              <w:rPr>
                <w:i/>
                <w:sz w:val="20"/>
                <w:szCs w:val="20"/>
                <w:lang w:val="uk-UA"/>
              </w:rPr>
              <w:t>Релеван</w:t>
            </w:r>
            <w:r w:rsidR="00EE19A6" w:rsidRPr="001C02BC">
              <w:rPr>
                <w:i/>
                <w:sz w:val="20"/>
                <w:szCs w:val="20"/>
                <w:lang w:val="uk-UA"/>
              </w:rPr>
              <w:t>т</w:t>
            </w:r>
            <w:r w:rsidR="00D8065F" w:rsidRPr="001C02BC">
              <w:rPr>
                <w:i/>
                <w:sz w:val="20"/>
                <w:szCs w:val="20"/>
                <w:lang w:val="uk-UA"/>
              </w:rPr>
              <w:t>ність</w:t>
            </w:r>
            <w:proofErr w:type="spellEnd"/>
            <w:r w:rsidR="00D8065F" w:rsidRPr="001C02BC">
              <w:rPr>
                <w:i/>
                <w:sz w:val="20"/>
                <w:szCs w:val="20"/>
                <w:lang w:val="uk-UA"/>
              </w:rPr>
              <w:t>, узгодженість:</w:t>
            </w:r>
            <w:r w:rsidR="00D8065F" w:rsidRPr="001C02BC">
              <w:rPr>
                <w:sz w:val="20"/>
                <w:szCs w:val="20"/>
                <w:lang w:val="uk-UA"/>
              </w:rPr>
              <w:t xml:space="preserve"> </w:t>
            </w:r>
            <w:r w:rsidR="003B58CC" w:rsidRPr="001C02BC">
              <w:rPr>
                <w:sz w:val="20"/>
                <w:szCs w:val="20"/>
                <w:lang w:val="uk-UA"/>
              </w:rPr>
              <w:t xml:space="preserve">проект спрямовано на вирішення актуальної соціальної проблеми, громада має відповідні ресурси для реалізації проекту, визначено перелік </w:t>
            </w:r>
            <w:r w:rsidR="00081315" w:rsidRPr="001C02BC">
              <w:rPr>
                <w:sz w:val="20"/>
                <w:szCs w:val="20"/>
                <w:lang w:val="uk-UA"/>
              </w:rPr>
              <w:t>зацікавлених сторін та учасників проекту - о</w:t>
            </w:r>
            <w:r w:rsidR="00081315" w:rsidRPr="001C02BC">
              <w:rPr>
                <w:bCs/>
                <w:sz w:val="20"/>
                <w:szCs w:val="20"/>
                <w:lang w:val="uk-UA"/>
              </w:rPr>
              <w:t>ргани влади ОТГ; громадські організації, керівництво паркових зон  - ініціатори проекту (часткове фінансування проекту, ресурсне та інформаційне сприяння реалізації проекту); гуртки, секції, неурядові організації, заклади освіти, фізичні особи-волонтери – організація тематичного дозвілля, відпочинку відвідувачів наметових таборів; приватні підприємці – надання додаткових послуг (як безкоштовних так і платних послуг)- насамперед з харчування; приватні інвестори спонсори – фінансування проекту</w:t>
            </w:r>
            <w:r w:rsidR="00FA0C7A" w:rsidRPr="001C02BC">
              <w:rPr>
                <w:bCs/>
                <w:sz w:val="20"/>
                <w:szCs w:val="20"/>
                <w:lang w:val="uk-UA"/>
              </w:rPr>
              <w:t>.</w:t>
            </w:r>
          </w:p>
          <w:p w:rsidR="00FA0C7A" w:rsidRPr="001C02BC" w:rsidRDefault="00D23A4A" w:rsidP="00081315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en-US"/>
              </w:rPr>
              <w:t>R</w:t>
            </w:r>
            <w:r w:rsidRPr="001C02BC">
              <w:rPr>
                <w:i/>
                <w:sz w:val="20"/>
                <w:szCs w:val="20"/>
                <w:lang w:val="uk-UA"/>
              </w:rPr>
              <w:t xml:space="preserve">- Реалістичність, досяжність: </w:t>
            </w:r>
            <w:r w:rsidRPr="001C02BC">
              <w:rPr>
                <w:sz w:val="20"/>
                <w:szCs w:val="20"/>
                <w:lang w:val="uk-UA"/>
              </w:rPr>
              <w:t xml:space="preserve">ціль може бути досягнута з урахуванням наявних та </w:t>
            </w:r>
            <w:proofErr w:type="spellStart"/>
            <w:r w:rsidRPr="001C02BC">
              <w:rPr>
                <w:sz w:val="20"/>
                <w:szCs w:val="20"/>
                <w:lang w:val="uk-UA"/>
              </w:rPr>
              <w:t>плануємих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 xml:space="preserve"> до залучення ресурсних можливостей та досвідом реалізації аналогічних проектів командою ініціаторів.</w:t>
            </w:r>
          </w:p>
          <w:p w:rsidR="00625C9C" w:rsidRPr="001C02BC" w:rsidRDefault="00D23A4A" w:rsidP="00FF559A">
            <w:pPr>
              <w:spacing w:before="40" w:after="40" w:line="240" w:lineRule="auto"/>
              <w:ind w:left="34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en-US"/>
              </w:rPr>
              <w:t>T</w:t>
            </w:r>
            <w:r w:rsidRPr="001C02BC">
              <w:rPr>
                <w:i/>
                <w:sz w:val="20"/>
                <w:szCs w:val="20"/>
                <w:lang w:val="uk-UA"/>
              </w:rPr>
              <w:t xml:space="preserve"> - Обмеженість у часі:  </w:t>
            </w:r>
            <w:r w:rsidRPr="001C02BC">
              <w:rPr>
                <w:sz w:val="20"/>
                <w:szCs w:val="20"/>
                <w:lang w:val="uk-UA"/>
              </w:rPr>
              <w:t xml:space="preserve">заплановані </w:t>
            </w:r>
            <w:r w:rsidRPr="001C02BC">
              <w:rPr>
                <w:bCs/>
                <w:sz w:val="20"/>
                <w:szCs w:val="20"/>
                <w:lang w:val="uk-UA"/>
              </w:rPr>
              <w:t xml:space="preserve">терміни реалізації проекту - до 3 місяців </w:t>
            </w:r>
            <w:proofErr w:type="gramStart"/>
            <w:r w:rsidRPr="001C02BC">
              <w:rPr>
                <w:bCs/>
                <w:sz w:val="20"/>
                <w:szCs w:val="20"/>
                <w:lang w:val="uk-UA"/>
              </w:rPr>
              <w:t>( березень,квітень</w:t>
            </w:r>
            <w:proofErr w:type="gramEnd"/>
            <w:r w:rsidRPr="001C02BC">
              <w:rPr>
                <w:bCs/>
                <w:sz w:val="20"/>
                <w:szCs w:val="20"/>
                <w:lang w:val="uk-UA"/>
              </w:rPr>
              <w:t>, травень)  або початком функціонування продукту проекту не пізніше 1.06.2018р. та закінчення функціонування - 31.08.2018.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5. Заінтересовані сторони 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Stakeholders</w:t>
            </w:r>
            <w:proofErr w:type="spellEnd"/>
          </w:p>
        </w:tc>
        <w:tc>
          <w:tcPr>
            <w:tcW w:w="11511" w:type="dxa"/>
          </w:tcPr>
          <w:p w:rsidR="000354B3" w:rsidRPr="001C02BC" w:rsidRDefault="008F35E1" w:rsidP="004C3C4D">
            <w:pPr>
              <w:spacing w:before="40" w:after="40" w:line="240" w:lineRule="auto"/>
              <w:ind w:left="34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>Заінтересовані сторони</w:t>
            </w:r>
            <w:r w:rsidR="002100D9" w:rsidRPr="001C02BC">
              <w:rPr>
                <w:i/>
                <w:sz w:val="20"/>
                <w:szCs w:val="20"/>
                <w:lang w:val="uk-UA"/>
              </w:rPr>
              <w:t>,</w:t>
            </w:r>
            <w:r w:rsidRPr="001C02BC">
              <w:rPr>
                <w:i/>
                <w:sz w:val="20"/>
                <w:szCs w:val="20"/>
                <w:lang w:val="uk-UA"/>
              </w:rPr>
              <w:t xml:space="preserve"> що мають високий вплив на проект</w:t>
            </w:r>
            <w:r w:rsidR="002100D9" w:rsidRPr="001C02BC">
              <w:rPr>
                <w:i/>
                <w:sz w:val="20"/>
                <w:szCs w:val="20"/>
                <w:lang w:val="uk-UA"/>
              </w:rPr>
              <w:t xml:space="preserve"> і  високу важливість</w:t>
            </w:r>
            <w:r w:rsidRPr="001C02BC">
              <w:rPr>
                <w:i/>
                <w:sz w:val="20"/>
                <w:szCs w:val="20"/>
                <w:lang w:val="uk-UA"/>
              </w:rPr>
              <w:t>:</w:t>
            </w:r>
          </w:p>
          <w:p w:rsidR="008F35E1" w:rsidRPr="001C02BC" w:rsidRDefault="002100D9" w:rsidP="004C3C4D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>Міська рада, органи ОТГ (партнери проекту, фінансування проекту);</w:t>
            </w:r>
          </w:p>
          <w:p w:rsidR="002100D9" w:rsidRPr="001C02BC" w:rsidRDefault="002100D9" w:rsidP="004C3C4D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 xml:space="preserve">ГО  кризовий медіа </w:t>
            </w:r>
            <w:proofErr w:type="spellStart"/>
            <w:r w:rsidRPr="001C02BC">
              <w:rPr>
                <w:sz w:val="20"/>
                <w:szCs w:val="20"/>
                <w:lang w:val="uk-UA"/>
              </w:rPr>
              <w:t>центр«Сіверський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 xml:space="preserve"> донець» (ініціатор проекту, медіа партнер</w:t>
            </w:r>
            <w:r w:rsidR="006C0B08" w:rsidRPr="001C02BC">
              <w:rPr>
                <w:sz w:val="20"/>
                <w:szCs w:val="20"/>
                <w:lang w:val="uk-UA"/>
              </w:rPr>
              <w:t>, виконавці робіт</w:t>
            </w:r>
            <w:r w:rsidRPr="001C02BC">
              <w:rPr>
                <w:sz w:val="20"/>
                <w:szCs w:val="20"/>
                <w:lang w:val="uk-UA"/>
              </w:rPr>
              <w:t>);</w:t>
            </w:r>
          </w:p>
          <w:p w:rsidR="002100D9" w:rsidRPr="001C02BC" w:rsidRDefault="002100D9" w:rsidP="004C3C4D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>Соціально-активне підприємство «</w:t>
            </w:r>
            <w:proofErr w:type="spellStart"/>
            <w:r w:rsidRPr="001C02BC">
              <w:rPr>
                <w:sz w:val="20"/>
                <w:szCs w:val="20"/>
                <w:lang w:val="uk-UA"/>
              </w:rPr>
              <w:t>Фіеста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>» (спонсор – партнер проекту ,</w:t>
            </w:r>
            <w:proofErr w:type="spellStart"/>
            <w:r w:rsidR="006C0B08" w:rsidRPr="001C02BC">
              <w:rPr>
                <w:sz w:val="20"/>
                <w:szCs w:val="20"/>
                <w:lang w:val="uk-UA"/>
              </w:rPr>
              <w:t>спів</w:t>
            </w:r>
            <w:r w:rsidRPr="001C02BC">
              <w:rPr>
                <w:sz w:val="20"/>
                <w:szCs w:val="20"/>
                <w:lang w:val="uk-UA"/>
              </w:rPr>
              <w:t>фінансування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>, організаційна підтримка у веденні проекту</w:t>
            </w:r>
            <w:r w:rsidR="006C0B08" w:rsidRPr="001C02BC">
              <w:rPr>
                <w:sz w:val="20"/>
                <w:szCs w:val="20"/>
                <w:lang w:val="uk-UA"/>
              </w:rPr>
              <w:t>, виконавець робіт</w:t>
            </w:r>
            <w:r w:rsidRPr="001C02BC">
              <w:rPr>
                <w:sz w:val="20"/>
                <w:szCs w:val="20"/>
                <w:lang w:val="uk-UA"/>
              </w:rPr>
              <w:t>).</w:t>
            </w:r>
          </w:p>
          <w:p w:rsidR="006C0B08" w:rsidRPr="001C02BC" w:rsidRDefault="006C0B08" w:rsidP="004C3C4D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>Команда управління проектом (керівництво проектом)</w:t>
            </w:r>
          </w:p>
          <w:p w:rsidR="002100D9" w:rsidRPr="001C02BC" w:rsidRDefault="002100D9" w:rsidP="002100D9">
            <w:pPr>
              <w:spacing w:before="40" w:after="40" w:line="240" w:lineRule="auto"/>
              <w:ind w:left="34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 xml:space="preserve">Заінтересовані сторони, що мають високий </w:t>
            </w:r>
            <w:r w:rsidR="001043B0" w:rsidRPr="001C02BC">
              <w:rPr>
                <w:i/>
                <w:sz w:val="20"/>
                <w:szCs w:val="20"/>
                <w:lang w:val="uk-UA"/>
              </w:rPr>
              <w:t>важливість</w:t>
            </w:r>
            <w:r w:rsidRPr="001C02BC">
              <w:rPr>
                <w:i/>
                <w:sz w:val="20"/>
                <w:szCs w:val="20"/>
                <w:lang w:val="uk-UA"/>
              </w:rPr>
              <w:t xml:space="preserve"> на проект </w:t>
            </w:r>
            <w:r w:rsidR="001043B0" w:rsidRPr="001C02BC">
              <w:rPr>
                <w:i/>
                <w:sz w:val="20"/>
                <w:szCs w:val="20"/>
                <w:lang w:val="uk-UA"/>
              </w:rPr>
              <w:t>але низький вплив</w:t>
            </w:r>
            <w:r w:rsidR="006C0B08" w:rsidRPr="001C02BC">
              <w:rPr>
                <w:i/>
                <w:sz w:val="20"/>
                <w:szCs w:val="20"/>
                <w:lang w:val="uk-UA"/>
              </w:rPr>
              <w:t xml:space="preserve">: </w:t>
            </w:r>
          </w:p>
          <w:p w:rsidR="006C0B08" w:rsidRPr="001C02BC" w:rsidRDefault="006C0B08" w:rsidP="002100D9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>Діти та підлітки з малозабезпечених сімей та сімей переселенців</w:t>
            </w:r>
            <w:r w:rsidR="00596709" w:rsidRPr="001C02B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96709" w:rsidRPr="001C02BC">
              <w:rPr>
                <w:sz w:val="20"/>
                <w:szCs w:val="20"/>
                <w:lang w:val="uk-UA"/>
              </w:rPr>
              <w:t>ініші</w:t>
            </w:r>
            <w:proofErr w:type="spellEnd"/>
            <w:r w:rsidR="00596709" w:rsidRPr="001C02BC">
              <w:rPr>
                <w:sz w:val="20"/>
                <w:szCs w:val="20"/>
                <w:lang w:val="uk-UA"/>
              </w:rPr>
              <w:t xml:space="preserve"> діти які забажають відвідати літні табори</w:t>
            </w:r>
            <w:r w:rsidRPr="001C02BC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C02BC">
              <w:rPr>
                <w:sz w:val="20"/>
                <w:szCs w:val="20"/>
                <w:lang w:val="uk-UA"/>
              </w:rPr>
              <w:t>бенефіціари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>)</w:t>
            </w:r>
          </w:p>
          <w:p w:rsidR="006C0B08" w:rsidRPr="001C02BC" w:rsidRDefault="006C0B08" w:rsidP="002100D9">
            <w:pPr>
              <w:spacing w:before="40" w:after="40" w:line="240" w:lineRule="auto"/>
              <w:ind w:left="34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lastRenderedPageBreak/>
              <w:t>Заінтересовані сторони, що мають високий вплив на проект, але результати на них безпосередньо не спрямовані:</w:t>
            </w:r>
          </w:p>
          <w:p w:rsidR="006C0B08" w:rsidRPr="001C02BC" w:rsidRDefault="006C0B08" w:rsidP="002100D9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 xml:space="preserve">Органи та структури з освіти, охорони здоров’я, МНС та </w:t>
            </w:r>
            <w:proofErr w:type="spellStart"/>
            <w:r w:rsidRPr="001C02BC">
              <w:rPr>
                <w:sz w:val="20"/>
                <w:szCs w:val="20"/>
                <w:lang w:val="uk-UA"/>
              </w:rPr>
              <w:t>інш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>.  – дозволи, контроль…(партнери)</w:t>
            </w:r>
          </w:p>
          <w:p w:rsidR="006C0B08" w:rsidRPr="001C02BC" w:rsidRDefault="006C0B08" w:rsidP="002100D9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>Представники ГО, гуртків (</w:t>
            </w:r>
            <w:proofErr w:type="spellStart"/>
            <w:r w:rsidRPr="001C02BC">
              <w:rPr>
                <w:sz w:val="20"/>
                <w:szCs w:val="20"/>
                <w:lang w:val="uk-UA"/>
              </w:rPr>
              <w:t>парнери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>, виконавці робіт)</w:t>
            </w:r>
          </w:p>
          <w:p w:rsidR="006C0B08" w:rsidRPr="001C02BC" w:rsidRDefault="006C0B08" w:rsidP="002100D9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>Підрядники (виконавці робіт щодо облаштування наметових таборів)</w:t>
            </w:r>
          </w:p>
          <w:p w:rsidR="006C0B08" w:rsidRPr="001C02BC" w:rsidRDefault="006C0B08" w:rsidP="002100D9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>Приватні інвестори, фонди (спонсори)</w:t>
            </w:r>
          </w:p>
          <w:p w:rsidR="00FF550C" w:rsidRPr="001C02BC" w:rsidRDefault="006C0B08" w:rsidP="00FF559A">
            <w:pPr>
              <w:spacing w:before="40" w:after="40" w:line="240" w:lineRule="auto"/>
              <w:ind w:left="34"/>
              <w:rPr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>Засоби масової інформації (партнери).</w:t>
            </w:r>
          </w:p>
        </w:tc>
      </w:tr>
      <w:tr w:rsidR="005D530E" w:rsidRPr="00FF559A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6. Цільові групи 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Target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group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(s)</w:t>
            </w: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511" w:type="dxa"/>
          </w:tcPr>
          <w:p w:rsidR="000354B3" w:rsidRPr="001C02BC" w:rsidRDefault="00596709" w:rsidP="00FF1FBB">
            <w:pPr>
              <w:spacing w:before="40" w:after="40" w:line="240" w:lineRule="auto"/>
              <w:ind w:left="34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 xml:space="preserve">Діти та підлітки з малозабезпечених сімей та сімей переселенців, </w:t>
            </w:r>
            <w:proofErr w:type="spellStart"/>
            <w:r w:rsidRPr="001C02BC">
              <w:rPr>
                <w:sz w:val="20"/>
                <w:szCs w:val="20"/>
                <w:lang w:val="uk-UA"/>
              </w:rPr>
              <w:t>ініші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 xml:space="preserve"> діти</w:t>
            </w:r>
            <w:r w:rsidR="00837CEB" w:rsidRPr="001C02BC">
              <w:rPr>
                <w:sz w:val="20"/>
                <w:szCs w:val="20"/>
                <w:lang w:val="uk-UA"/>
              </w:rPr>
              <w:t>,</w:t>
            </w:r>
            <w:r w:rsidRPr="001C02BC">
              <w:rPr>
                <w:sz w:val="20"/>
                <w:szCs w:val="20"/>
                <w:lang w:val="uk-UA"/>
              </w:rPr>
              <w:t xml:space="preserve"> які забажають відвідати літні табори (потреби у </w:t>
            </w:r>
            <w:r w:rsidRPr="001C02BC">
              <w:rPr>
                <w:bCs/>
                <w:sz w:val="20"/>
                <w:szCs w:val="20"/>
                <w:lang w:val="uk-UA"/>
              </w:rPr>
              <w:t>дозвіллі у вільний час, відпочинку та оздоровленні)</w:t>
            </w:r>
          </w:p>
          <w:p w:rsidR="00596709" w:rsidRPr="001C02BC" w:rsidRDefault="00596709" w:rsidP="00FF1FBB">
            <w:pPr>
              <w:spacing w:before="40" w:after="40" w:line="240" w:lineRule="auto"/>
              <w:ind w:left="34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Батьки дітей  - потреби виховання дітей, надання їм уваги</w:t>
            </w:r>
            <w:r w:rsidR="00837CEB" w:rsidRPr="001C02BC">
              <w:rPr>
                <w:bCs/>
                <w:i/>
                <w:sz w:val="20"/>
                <w:szCs w:val="20"/>
                <w:lang w:val="uk-UA"/>
              </w:rPr>
              <w:t>, нагляду за дітьми.</w:t>
            </w:r>
          </w:p>
          <w:p w:rsidR="00596709" w:rsidRPr="001C02BC" w:rsidRDefault="00596709" w:rsidP="00FF1FBB">
            <w:pPr>
              <w:spacing w:before="40" w:after="40" w:line="240" w:lineRule="auto"/>
              <w:ind w:left="34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Громада – потреба у зменшення соціальної напруженості</w:t>
            </w:r>
          </w:p>
          <w:p w:rsidR="00CF2E08" w:rsidRPr="001C02BC" w:rsidRDefault="00CF2E08" w:rsidP="00CF2E08">
            <w:pPr>
              <w:pStyle w:val="a3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1C02BC"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  <w:t xml:space="preserve">1. Діти та підлітки </w:t>
            </w:r>
            <w:proofErr w:type="spellStart"/>
            <w:r w:rsidRPr="001C02BC"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  <w:t>–як</w:t>
            </w:r>
            <w:proofErr w:type="spellEnd"/>
            <w:r w:rsidRPr="001C02BC"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  <w:t xml:space="preserve"> отримувачі послуг з дозвілля та оздоровлення;</w:t>
            </w:r>
          </w:p>
          <w:p w:rsidR="00CF2E08" w:rsidRPr="001C02BC" w:rsidRDefault="00CF2E08" w:rsidP="00CF2E08">
            <w:pPr>
              <w:pStyle w:val="a3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1C02BC"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  <w:t>2. Батьки дітей (зменшення витрат часу на контроль дітей у їх вільний час, вирішення питання – де будуть відпочивати діти і чим займатися);</w:t>
            </w:r>
          </w:p>
          <w:p w:rsidR="00CF2E08" w:rsidRPr="001C02BC" w:rsidRDefault="00CF2E08" w:rsidP="00CF2E08">
            <w:pPr>
              <w:pStyle w:val="a3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1C02BC"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  <w:t>3. Органи влади - структури з управління охороною здоров’я, освіти – підтримка діяльності літніх таборів, сприяння у видачі необхідних дозволів та інформаційна підтримка</w:t>
            </w:r>
          </w:p>
          <w:p w:rsidR="00CF2E08" w:rsidRPr="001C02BC" w:rsidRDefault="00CF2E08" w:rsidP="00CF2E08">
            <w:pPr>
              <w:pStyle w:val="a3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1C02BC">
              <w:rPr>
                <w:rFonts w:ascii="Calibri" w:hAnsi="Calibri" w:cs="Calibri"/>
                <w:color w:val="000000"/>
                <w:sz w:val="20"/>
                <w:szCs w:val="20"/>
                <w:lang w:val="uk-UA" w:eastAsia="uk-UA"/>
              </w:rPr>
              <w:t>4. Спортивні та культурні секції, клуби які залучаються до заходів з проведення розваг та оздоровлення підлітків (рекламування своєї діяльності, можливість розширення кількості учасників);</w:t>
            </w:r>
          </w:p>
          <w:p w:rsidR="005D530E" w:rsidRPr="001C02BC" w:rsidRDefault="00CF2E08" w:rsidP="00FF559A">
            <w:pPr>
              <w:spacing w:before="40" w:after="40" w:line="240" w:lineRule="auto"/>
              <w:ind w:left="34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color w:val="000000"/>
                <w:sz w:val="20"/>
                <w:szCs w:val="20"/>
                <w:lang w:val="uk-UA" w:eastAsia="uk-UA"/>
              </w:rPr>
              <w:t>5. Організації, підприємства які можуть надати ресурси або послуги для  організації та діяльності літніх таборів (рекламування своєї діяльності, розширення кількості клієнтів, отримання прибутку, отримання с</w:t>
            </w:r>
            <w:r w:rsidR="00FF559A">
              <w:rPr>
                <w:color w:val="000000"/>
                <w:sz w:val="20"/>
                <w:szCs w:val="20"/>
                <w:lang w:val="uk-UA" w:eastAsia="uk-UA"/>
              </w:rPr>
              <w:t xml:space="preserve">татусу соціально спрямованих). </w:t>
            </w:r>
            <w:r w:rsidR="00FF550C" w:rsidRPr="001C02BC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5D530E" w:rsidRPr="00FF559A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7. </w:t>
            </w:r>
            <w:proofErr w:type="spellStart"/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Бенефіціари</w:t>
            </w:r>
            <w:proofErr w:type="spellEnd"/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Final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beneficiaries</w:t>
            </w:r>
            <w:proofErr w:type="spellEnd"/>
          </w:p>
        </w:tc>
        <w:tc>
          <w:tcPr>
            <w:tcW w:w="11511" w:type="dxa"/>
          </w:tcPr>
          <w:p w:rsidR="005D530E" w:rsidRPr="001C02BC" w:rsidRDefault="00837CEB" w:rsidP="00FF559A">
            <w:pPr>
              <w:spacing w:before="40" w:after="40" w:line="240" w:lineRule="auto"/>
              <w:ind w:left="34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/>
              </w:rPr>
              <w:t xml:space="preserve">Діти та підлітки з малозабезпечених сімей та сімей переселенців, </w:t>
            </w:r>
            <w:proofErr w:type="spellStart"/>
            <w:r w:rsidRPr="001C02BC">
              <w:rPr>
                <w:sz w:val="20"/>
                <w:szCs w:val="20"/>
                <w:lang w:val="uk-UA"/>
              </w:rPr>
              <w:t>ініші</w:t>
            </w:r>
            <w:proofErr w:type="spellEnd"/>
            <w:r w:rsidRPr="001C02BC">
              <w:rPr>
                <w:sz w:val="20"/>
                <w:szCs w:val="20"/>
                <w:lang w:val="uk-UA"/>
              </w:rPr>
              <w:t xml:space="preserve"> діти, які забажають відвідати літні табори (отримують послуги з організації та проведення дозвілля</w:t>
            </w:r>
            <w:r w:rsidRPr="001C02BC">
              <w:rPr>
                <w:bCs/>
                <w:sz w:val="20"/>
                <w:szCs w:val="20"/>
                <w:lang w:val="uk-UA"/>
              </w:rPr>
              <w:t>, відпочинку та оздоровлення)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8. Очікувані результати проекту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Estimated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results</w:t>
            </w:r>
            <w:proofErr w:type="spellEnd"/>
          </w:p>
        </w:tc>
        <w:tc>
          <w:tcPr>
            <w:tcW w:w="11511" w:type="dxa"/>
          </w:tcPr>
          <w:p w:rsidR="00971A92" w:rsidRPr="001C02BC" w:rsidRDefault="00A83C87" w:rsidP="00A83C87">
            <w:pPr>
              <w:pStyle w:val="Default"/>
              <w:rPr>
                <w:sz w:val="20"/>
                <w:szCs w:val="20"/>
              </w:rPr>
            </w:pPr>
            <w:r w:rsidRPr="001C02BC">
              <w:rPr>
                <w:b/>
                <w:sz w:val="20"/>
                <w:szCs w:val="20"/>
              </w:rPr>
              <w:t xml:space="preserve">Інноваційна ідея </w:t>
            </w:r>
            <w:r w:rsidR="00971A92" w:rsidRPr="001C02BC">
              <w:rPr>
                <w:sz w:val="20"/>
                <w:szCs w:val="20"/>
              </w:rPr>
              <w:t>полягає у ви</w:t>
            </w:r>
            <w:r w:rsidR="00982D24" w:rsidRPr="001C02BC">
              <w:rPr>
                <w:sz w:val="20"/>
                <w:szCs w:val="20"/>
              </w:rPr>
              <w:t>ко</w:t>
            </w:r>
            <w:r w:rsidR="00971A92" w:rsidRPr="001C02BC">
              <w:rPr>
                <w:sz w:val="20"/>
                <w:szCs w:val="20"/>
              </w:rPr>
              <w:t>р</w:t>
            </w:r>
            <w:r w:rsidR="00982D24" w:rsidRPr="001C02BC">
              <w:rPr>
                <w:sz w:val="20"/>
                <w:szCs w:val="20"/>
              </w:rPr>
              <w:t>и</w:t>
            </w:r>
            <w:r w:rsidR="00971A92" w:rsidRPr="001C02BC">
              <w:rPr>
                <w:sz w:val="20"/>
                <w:szCs w:val="20"/>
              </w:rPr>
              <w:t>станні існуючого інфраструктурного</w:t>
            </w:r>
            <w:r w:rsidR="00982D24" w:rsidRPr="001C02BC">
              <w:rPr>
                <w:sz w:val="20"/>
                <w:szCs w:val="20"/>
              </w:rPr>
              <w:t xml:space="preserve">, громадського та підприємницького </w:t>
            </w:r>
            <w:r w:rsidR="00971A92" w:rsidRPr="001C02BC">
              <w:rPr>
                <w:sz w:val="20"/>
                <w:szCs w:val="20"/>
              </w:rPr>
              <w:t xml:space="preserve"> потенціалу ОТГ</w:t>
            </w:r>
            <w:r w:rsidR="00982D24" w:rsidRPr="001C02BC">
              <w:rPr>
                <w:sz w:val="20"/>
                <w:szCs w:val="20"/>
              </w:rPr>
              <w:t xml:space="preserve"> ( у вигляді підходу до організації взаємодії при наданні послуг) </w:t>
            </w:r>
            <w:r w:rsidR="00971A92" w:rsidRPr="001C02BC">
              <w:rPr>
                <w:sz w:val="20"/>
                <w:szCs w:val="20"/>
              </w:rPr>
              <w:t xml:space="preserve"> із активним залученням до реалізації </w:t>
            </w:r>
            <w:r w:rsidR="00982D24" w:rsidRPr="001C02BC">
              <w:rPr>
                <w:sz w:val="20"/>
                <w:szCs w:val="20"/>
              </w:rPr>
              <w:t>проекту багатьох зацікавлених сторін для вирішення проблеми організації відпочинку та дозвілля дітей у літній період в контекстних умовах які склались в Луганській області.</w:t>
            </w:r>
          </w:p>
          <w:p w:rsidR="009E3CA7" w:rsidRPr="001C02BC" w:rsidRDefault="009E3CA7" w:rsidP="009E3CA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Для вирішення проблеми зайнятості, дозвілля та оздоровлення дітей розглядалося декілька альтернатив:</w:t>
            </w:r>
          </w:p>
          <w:p w:rsidR="009E3CA7" w:rsidRPr="001C02BC" w:rsidRDefault="009E3CA7" w:rsidP="009E3CA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Альтернатива 1. Створити на територіях шкіл, навчальних закладів наметові містечка .  </w:t>
            </w:r>
          </w:p>
          <w:p w:rsidR="009E3CA7" w:rsidRPr="001C02BC" w:rsidRDefault="009E3CA7" w:rsidP="009E3CA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Переваги: невисокі витрати (до 80 тис грн.), достатній рівень безпеки та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обслуговання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>, наявний досвід (такі табори створюються кожен рік). Можливість надати послуги досить великій кількості дітей.</w:t>
            </w:r>
          </w:p>
          <w:p w:rsidR="009E3CA7" w:rsidRPr="001C02BC" w:rsidRDefault="009E3CA7" w:rsidP="009E3CA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Недоліки: інфраструктурні та ресурсні обмеження щодо організації, відпочинку та оздоровлення. Перебування у таборі лише у денний час. Додаткова зайнятість викладачів.</w:t>
            </w:r>
          </w:p>
          <w:p w:rsidR="009E3CA7" w:rsidRPr="001C02BC" w:rsidRDefault="009E3CA7" w:rsidP="009E3CA7">
            <w:pPr>
              <w:pStyle w:val="Default"/>
              <w:rPr>
                <w:bCs/>
                <w:color w:val="auto"/>
                <w:sz w:val="20"/>
                <w:szCs w:val="20"/>
                <w:lang w:val="ru-RU"/>
              </w:rPr>
            </w:pPr>
            <w:r w:rsidRPr="001C02BC">
              <w:rPr>
                <w:sz w:val="20"/>
                <w:szCs w:val="20"/>
              </w:rPr>
              <w:t xml:space="preserve">Альтернатива </w:t>
            </w:r>
            <w:r w:rsidRPr="001C02BC">
              <w:rPr>
                <w:sz w:val="20"/>
                <w:szCs w:val="20"/>
                <w:lang w:val="ru-RU"/>
              </w:rPr>
              <w:t>2</w:t>
            </w:r>
            <w:r w:rsidRPr="001C02BC">
              <w:rPr>
                <w:sz w:val="20"/>
                <w:szCs w:val="20"/>
              </w:rPr>
              <w:t>.</w:t>
            </w:r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Відновлення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функціонування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r w:rsidRPr="001C02BC">
              <w:rPr>
                <w:bCs/>
                <w:color w:val="auto"/>
                <w:sz w:val="20"/>
                <w:szCs w:val="20"/>
              </w:rPr>
              <w:t>дитячо-юнацького комплексу «Юність»</w:t>
            </w:r>
            <w:r w:rsidRPr="001C02BC">
              <w:rPr>
                <w:bCs/>
                <w:color w:val="auto"/>
                <w:sz w:val="20"/>
                <w:szCs w:val="20"/>
                <w:lang w:val="ru-RU"/>
              </w:rPr>
              <w:t xml:space="preserve"> та</w:t>
            </w:r>
            <w:r w:rsidRPr="001C02BC">
              <w:rPr>
                <w:bCs/>
                <w:color w:val="auto"/>
                <w:sz w:val="20"/>
                <w:szCs w:val="20"/>
              </w:rPr>
              <w:t xml:space="preserve"> «Добро </w:t>
            </w:r>
            <w:proofErr w:type="gramStart"/>
            <w:r w:rsidRPr="001C02BC">
              <w:rPr>
                <w:bCs/>
                <w:color w:val="auto"/>
                <w:sz w:val="20"/>
                <w:szCs w:val="20"/>
              </w:rPr>
              <w:t>починається</w:t>
            </w:r>
            <w:proofErr w:type="gramEnd"/>
            <w:r w:rsidRPr="001C02BC">
              <w:rPr>
                <w:bCs/>
                <w:color w:val="auto"/>
                <w:sz w:val="20"/>
                <w:szCs w:val="20"/>
              </w:rPr>
              <w:t xml:space="preserve"> з тебе». Цей комплекс має й свій табір “Альянс” у лісовій зоні, на березі озера Боброве</w:t>
            </w:r>
            <w:r w:rsidRPr="001C02BC">
              <w:rPr>
                <w:bCs/>
                <w:color w:val="auto"/>
                <w:sz w:val="20"/>
                <w:szCs w:val="20"/>
                <w:lang w:val="ru-RU"/>
              </w:rPr>
              <w:t xml:space="preserve">. Режим </w:t>
            </w:r>
            <w:proofErr w:type="spellStart"/>
            <w:r w:rsidRPr="001C02BC">
              <w:rPr>
                <w:bCs/>
                <w:color w:val="auto"/>
                <w:sz w:val="20"/>
                <w:szCs w:val="20"/>
                <w:lang w:val="ru-RU"/>
              </w:rPr>
              <w:t>роботи</w:t>
            </w:r>
            <w:proofErr w:type="spellEnd"/>
            <w:r w:rsidRPr="001C02BC">
              <w:rPr>
                <w:bCs/>
                <w:color w:val="auto"/>
                <w:sz w:val="20"/>
                <w:szCs w:val="20"/>
                <w:lang w:val="ru-RU"/>
              </w:rPr>
              <w:t xml:space="preserve"> табору </w:t>
            </w:r>
            <w:proofErr w:type="gramStart"/>
            <w:r w:rsidRPr="001C02BC">
              <w:rPr>
                <w:bCs/>
                <w:color w:val="auto"/>
                <w:sz w:val="20"/>
                <w:szCs w:val="20"/>
                <w:lang w:val="ru-RU"/>
              </w:rPr>
              <w:t>–</w:t>
            </w:r>
            <w:proofErr w:type="spellStart"/>
            <w:r w:rsidRPr="001C02BC">
              <w:rPr>
                <w:bCs/>
                <w:color w:val="auto"/>
                <w:sz w:val="20"/>
                <w:szCs w:val="20"/>
                <w:lang w:val="ru-RU"/>
              </w:rPr>
              <w:t>д</w:t>
            </w:r>
            <w:proofErr w:type="gramEnd"/>
            <w:r w:rsidRPr="001C02BC">
              <w:rPr>
                <w:bCs/>
                <w:color w:val="auto"/>
                <w:sz w:val="20"/>
                <w:szCs w:val="20"/>
                <w:lang w:val="ru-RU"/>
              </w:rPr>
              <w:t>енний</w:t>
            </w:r>
            <w:proofErr w:type="spellEnd"/>
            <w:r w:rsidRPr="001C02BC">
              <w:rPr>
                <w:bCs/>
                <w:color w:val="auto"/>
                <w:sz w:val="20"/>
                <w:szCs w:val="20"/>
                <w:lang w:val="ru-RU"/>
              </w:rPr>
              <w:t>.</w:t>
            </w:r>
          </w:p>
          <w:p w:rsidR="009E3CA7" w:rsidRPr="001C02BC" w:rsidRDefault="009E3CA7" w:rsidP="009E3CA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Переваги: високий рівень безпеки та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обслуговання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, спеціалізована інфраструктура (для відпочинку, дозвілля, приготування їжі та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інш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>.). Наявність сприятливих природних умов для відпочинку та оздоровлення – озеро, ліс. Створення робочих місць.</w:t>
            </w:r>
            <w:r w:rsidRPr="001C02BC">
              <w:rPr>
                <w:sz w:val="20"/>
                <w:szCs w:val="20"/>
                <w:lang w:val="uk-UA"/>
              </w:rPr>
              <w:t xml:space="preserve"> Кількість відвідувачів за добу – до 250 осіб.</w:t>
            </w:r>
          </w:p>
          <w:p w:rsidR="009E3CA7" w:rsidRPr="001C02BC" w:rsidRDefault="009E3CA7" w:rsidP="009E3CA7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1C02BC">
              <w:rPr>
                <w:sz w:val="20"/>
                <w:szCs w:val="20"/>
              </w:rPr>
              <w:t xml:space="preserve">Недоліки: досить високі витрати на відновлення функціонування (близько </w:t>
            </w:r>
            <w:r w:rsidRPr="001C02BC">
              <w:rPr>
                <w:sz w:val="20"/>
                <w:szCs w:val="20"/>
                <w:lang w:val="ru-RU"/>
              </w:rPr>
              <w:t>280</w:t>
            </w:r>
            <w:r w:rsidRPr="001C02BC">
              <w:rPr>
                <w:sz w:val="20"/>
                <w:szCs w:val="20"/>
              </w:rPr>
              <w:t xml:space="preserve"> тис. грн.). Перебування у таборі лише у денний час.</w:t>
            </w:r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Віддаленість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(25 км) – без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можливості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організувати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ні</w:t>
            </w:r>
            <w:proofErr w:type="gramStart"/>
            <w:r w:rsidRPr="001C02BC">
              <w:rPr>
                <w:sz w:val="20"/>
                <w:szCs w:val="20"/>
                <w:lang w:val="ru-RU"/>
              </w:rPr>
              <w:t>чл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іг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додаткові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витрати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транспорт. </w:t>
            </w:r>
          </w:p>
          <w:p w:rsidR="009E3CA7" w:rsidRPr="001C02BC" w:rsidRDefault="009E3CA7" w:rsidP="009E3CA7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1C02BC">
              <w:rPr>
                <w:sz w:val="20"/>
                <w:szCs w:val="20"/>
              </w:rPr>
              <w:t xml:space="preserve">Альтернатива </w:t>
            </w:r>
            <w:r w:rsidRPr="001C02BC">
              <w:rPr>
                <w:sz w:val="20"/>
                <w:szCs w:val="20"/>
                <w:lang w:val="ru-RU"/>
              </w:rPr>
              <w:t>3</w:t>
            </w:r>
            <w:r w:rsidRPr="001C02BC">
              <w:rPr>
                <w:sz w:val="20"/>
                <w:szCs w:val="20"/>
              </w:rPr>
              <w:t>.</w:t>
            </w:r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r w:rsidRPr="001C02BC">
              <w:rPr>
                <w:color w:val="auto"/>
                <w:sz w:val="20"/>
                <w:szCs w:val="20"/>
              </w:rPr>
              <w:t>Створення мережі наметових т</w:t>
            </w:r>
            <w:r w:rsidRPr="001C02BC">
              <w:rPr>
                <w:color w:val="auto"/>
                <w:sz w:val="20"/>
                <w:szCs w:val="20"/>
                <w:lang w:val="ru-RU"/>
              </w:rPr>
              <w:t>а</w:t>
            </w:r>
            <w:r w:rsidRPr="001C02BC">
              <w:rPr>
                <w:color w:val="auto"/>
                <w:sz w:val="20"/>
                <w:szCs w:val="20"/>
              </w:rPr>
              <w:t>борів для денного відпочинку на територіях паркових зон міста (</w:t>
            </w:r>
            <w:proofErr w:type="spellStart"/>
            <w:r w:rsidRPr="001C02BC">
              <w:rPr>
                <w:color w:val="auto"/>
                <w:sz w:val="20"/>
                <w:szCs w:val="20"/>
              </w:rPr>
              <w:t>Сєвєродонецького</w:t>
            </w:r>
            <w:proofErr w:type="spellEnd"/>
            <w:r w:rsidRPr="001C02BC">
              <w:rPr>
                <w:color w:val="auto"/>
                <w:sz w:val="20"/>
                <w:szCs w:val="20"/>
              </w:rPr>
              <w:t xml:space="preserve"> парку культури та відпочинку – наявність озера, сцени для дискотеки</w:t>
            </w:r>
            <w:r w:rsidRPr="001C02BC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закладів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швидкого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харчування</w:t>
            </w:r>
            <w:proofErr w:type="spellEnd"/>
            <w:r w:rsidRPr="001C02BC">
              <w:rPr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Європарк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наявність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lastRenderedPageBreak/>
              <w:t>рідкісних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рослин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можливість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займатися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озелененням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наявність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облаштованних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місць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відпочинку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природі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) </w:t>
            </w:r>
            <w:r w:rsidRPr="001C02BC">
              <w:rPr>
                <w:color w:val="auto"/>
                <w:sz w:val="20"/>
                <w:szCs w:val="20"/>
              </w:rPr>
              <w:t xml:space="preserve">приватних територіях </w:t>
            </w:r>
            <w:r w:rsidRPr="001C02BC">
              <w:rPr>
                <w:color w:val="auto"/>
                <w:sz w:val="20"/>
                <w:szCs w:val="20"/>
                <w:lang w:val="ru-RU"/>
              </w:rPr>
              <w:t>(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Мотузковий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парк «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Фієста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» -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наявність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інфраструктури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заняття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спортом,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відпочинку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C02BC">
              <w:rPr>
                <w:color w:val="auto"/>
                <w:sz w:val="20"/>
                <w:szCs w:val="20"/>
                <w:lang w:val="ru-RU"/>
              </w:rPr>
              <w:t>лісі</w:t>
            </w:r>
            <w:proofErr w:type="spellEnd"/>
            <w:r w:rsidRPr="001C02BC">
              <w:rPr>
                <w:color w:val="auto"/>
                <w:sz w:val="20"/>
                <w:szCs w:val="20"/>
                <w:lang w:val="ru-RU"/>
              </w:rPr>
              <w:t xml:space="preserve">). </w:t>
            </w:r>
          </w:p>
          <w:p w:rsidR="009E3CA7" w:rsidRPr="001C02BC" w:rsidRDefault="009E3CA7" w:rsidP="009E3CA7">
            <w:pPr>
              <w:pStyle w:val="Default"/>
              <w:rPr>
                <w:sz w:val="20"/>
                <w:szCs w:val="20"/>
                <w:lang w:val="ru-RU"/>
              </w:rPr>
            </w:pPr>
            <w:r w:rsidRPr="001C02BC">
              <w:rPr>
                <w:sz w:val="20"/>
                <w:szCs w:val="20"/>
              </w:rPr>
              <w:t>Переваги:</w:t>
            </w:r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середній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рівень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витрат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облаштування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мережі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наметових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таборів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близько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200 тис грн.),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місце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знаходження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- 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</w:t>
            </w:r>
            <w:proofErr w:type="gramStart"/>
            <w:r w:rsidRPr="001C02BC">
              <w:rPr>
                <w:sz w:val="20"/>
                <w:szCs w:val="20"/>
                <w:lang w:val="ru-RU"/>
              </w:rPr>
              <w:t>ст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відстані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до 3км.,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зменшує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логістичні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витрати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дозволяє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залучити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волонтерських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засадах широко коло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представників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різноманітних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секцій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кружків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гуртків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різного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спрямовання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цікавого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відпочинку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наприклад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за темами –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охорона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довкілля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правила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поведінки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природі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спортивні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змагання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патріотичне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виховання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танці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інш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–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дає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можливість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оримати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під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мінігрантів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під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</w:t>
            </w:r>
            <w:proofErr w:type="gramStart"/>
            <w:r w:rsidRPr="001C02BC">
              <w:rPr>
                <w:sz w:val="20"/>
                <w:szCs w:val="20"/>
                <w:lang w:val="ru-RU"/>
              </w:rPr>
              <w:t>д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єю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мережі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таборів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додаткове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спонсорське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часткова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інфраструктури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для активного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відпочинку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Можливість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організовувати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декілько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таборів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специфікою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організаційних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заходів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щодо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оздоровлення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відпочинку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будуть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суттєво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</w:t>
            </w:r>
            <w:proofErr w:type="gramStart"/>
            <w:r w:rsidRPr="001C02BC">
              <w:rPr>
                <w:sz w:val="20"/>
                <w:szCs w:val="20"/>
                <w:lang w:val="ru-RU"/>
              </w:rPr>
              <w:t>др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ізнятися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один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одного.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Можливість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приймати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до 300 </w:t>
            </w:r>
            <w:proofErr w:type="spellStart"/>
            <w:proofErr w:type="gramStart"/>
            <w:r w:rsidRPr="001C02BC">
              <w:rPr>
                <w:sz w:val="20"/>
                <w:szCs w:val="20"/>
                <w:lang w:val="ru-RU"/>
              </w:rPr>
              <w:t>осіб</w:t>
            </w:r>
            <w:proofErr w:type="spellEnd"/>
            <w:proofErr w:type="gramEnd"/>
            <w:r w:rsidRPr="001C02B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добу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Можливість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надавити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безкоштовні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коштовні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C02BC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 xml:space="preserve">у другому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випадку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сприяти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створенню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додаткових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робочих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Безпека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з точки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зору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відсутності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вубухонебезпечних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предметів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обвітшалих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споруд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інш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>.</w:t>
            </w:r>
          </w:p>
          <w:p w:rsidR="009E3CA7" w:rsidRPr="001C02BC" w:rsidRDefault="009E3CA7" w:rsidP="009E3CA7">
            <w:pPr>
              <w:pStyle w:val="Default"/>
              <w:rPr>
                <w:sz w:val="20"/>
                <w:szCs w:val="20"/>
                <w:lang w:val="ru-RU"/>
              </w:rPr>
            </w:pPr>
            <w:r w:rsidRPr="001C02BC">
              <w:rPr>
                <w:sz w:val="20"/>
                <w:szCs w:val="20"/>
              </w:rPr>
              <w:t>Недоліки:</w:t>
            </w:r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необхідність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підтримки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діяльності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наметових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таборів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– до 30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тис.на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місцяць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стаціонарного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електропостачання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лише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території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міського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парку (в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інших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зонах є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можливість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нетрадиційних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джерел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енергії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першочергових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потреб (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скважин,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освітлення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) -  у тому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числі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з метою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популяризації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серед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молоді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Неможливості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всіх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C02BC">
              <w:rPr>
                <w:sz w:val="20"/>
                <w:szCs w:val="20"/>
                <w:lang w:val="ru-RU"/>
              </w:rPr>
              <w:t>таборах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організувати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стаціонарне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харчування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польові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кухні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Залучення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великої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кількості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учасників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потребує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єдиного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координаційного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центру і </w:t>
            </w:r>
            <w:proofErr w:type="spellStart"/>
            <w:proofErr w:type="gramStart"/>
            <w:r w:rsidRPr="001C02B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ідвищує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організаційні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ризики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>.</w:t>
            </w:r>
          </w:p>
          <w:p w:rsidR="009E3CA7" w:rsidRPr="001C02BC" w:rsidRDefault="009E3CA7" w:rsidP="009E3CA7">
            <w:pPr>
              <w:pStyle w:val="Default"/>
              <w:rPr>
                <w:sz w:val="20"/>
                <w:szCs w:val="20"/>
                <w:lang w:val="ru-RU"/>
              </w:rPr>
            </w:pPr>
            <w:proofErr w:type="spellStart"/>
            <w:r w:rsidRPr="001C02BC">
              <w:rPr>
                <w:sz w:val="20"/>
                <w:szCs w:val="20"/>
                <w:lang w:val="ru-RU"/>
              </w:rPr>
              <w:t>Враховуючі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такі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фактории як: </w:t>
            </w:r>
            <w:proofErr w:type="spellStart"/>
            <w:proofErr w:type="gramStart"/>
            <w:r w:rsidRPr="001C02BC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івень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витрат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змістовна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складова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відпочинку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відповідної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інфраструктури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міст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відпочинку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можливість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створенння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додаткових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робочих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міст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. </w:t>
            </w:r>
          </w:p>
          <w:p w:rsidR="009E3CA7" w:rsidRPr="001C02BC" w:rsidRDefault="009E3CA7" w:rsidP="009E3CA7">
            <w:pPr>
              <w:pStyle w:val="Default"/>
              <w:rPr>
                <w:sz w:val="20"/>
                <w:szCs w:val="20"/>
                <w:lang w:val="ru-RU"/>
              </w:rPr>
            </w:pPr>
            <w:proofErr w:type="spellStart"/>
            <w:r w:rsidRPr="001C02BC">
              <w:rPr>
                <w:sz w:val="20"/>
                <w:szCs w:val="20"/>
                <w:lang w:val="ru-RU"/>
              </w:rPr>
              <w:t>Інноваційна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ідея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можливість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залучення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додаткового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організаційні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аспекти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втілення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проетку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найбільш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привабливою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визначена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третья альтернатива.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Реалізація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якої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приведе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істотного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поліпшення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C02BC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C02BC">
              <w:rPr>
                <w:sz w:val="20"/>
                <w:szCs w:val="20"/>
                <w:lang w:val="ru-RU"/>
              </w:rPr>
              <w:t>івня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1C02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02BC">
              <w:rPr>
                <w:sz w:val="20"/>
                <w:szCs w:val="20"/>
                <w:lang w:val="ru-RU"/>
              </w:rPr>
              <w:t>громади</w:t>
            </w:r>
            <w:proofErr w:type="spellEnd"/>
            <w:r w:rsidR="00317A7D" w:rsidRPr="001C02BC">
              <w:rPr>
                <w:sz w:val="20"/>
                <w:szCs w:val="20"/>
                <w:lang w:val="ru-RU"/>
              </w:rPr>
              <w:t>.</w:t>
            </w:r>
          </w:p>
          <w:p w:rsidR="000354B3" w:rsidRPr="001C02BC" w:rsidRDefault="00A83C87" w:rsidP="00A83C87">
            <w:pPr>
              <w:spacing w:before="40" w:after="40" w:line="240" w:lineRule="auto"/>
              <w:ind w:left="34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b/>
                <w:bCs/>
                <w:sz w:val="20"/>
                <w:szCs w:val="20"/>
              </w:rPr>
              <w:t>Продукт проекту</w:t>
            </w:r>
            <w:r w:rsidRPr="001C02BC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1C02BC">
              <w:rPr>
                <w:bCs/>
                <w:sz w:val="20"/>
                <w:szCs w:val="20"/>
              </w:rPr>
              <w:t>Створення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мережі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тематичних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літніх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C02BC">
              <w:rPr>
                <w:bCs/>
                <w:sz w:val="20"/>
                <w:szCs w:val="20"/>
              </w:rPr>
              <w:t>сезонних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1C02BC">
              <w:rPr>
                <w:bCs/>
                <w:sz w:val="20"/>
                <w:szCs w:val="20"/>
              </w:rPr>
              <w:t>наметових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таборів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денного </w:t>
            </w:r>
            <w:proofErr w:type="spellStart"/>
            <w:r w:rsidRPr="001C02BC">
              <w:rPr>
                <w:bCs/>
                <w:sz w:val="20"/>
                <w:szCs w:val="20"/>
              </w:rPr>
              <w:t>використання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1C02BC">
              <w:rPr>
                <w:bCs/>
                <w:sz w:val="20"/>
                <w:szCs w:val="20"/>
              </w:rPr>
              <w:t>організації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дозвілля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C02BC">
              <w:rPr>
                <w:bCs/>
                <w:sz w:val="20"/>
                <w:szCs w:val="20"/>
              </w:rPr>
              <w:t>відпочинку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1C02BC">
              <w:rPr>
                <w:bCs/>
                <w:sz w:val="20"/>
                <w:szCs w:val="20"/>
              </w:rPr>
              <w:t>оздоровлення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дітей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1C02BC">
              <w:rPr>
                <w:bCs/>
                <w:sz w:val="20"/>
                <w:szCs w:val="20"/>
              </w:rPr>
              <w:t>п</w:t>
            </w:r>
            <w:proofErr w:type="gramEnd"/>
            <w:r w:rsidRPr="001C02BC">
              <w:rPr>
                <w:bCs/>
                <w:sz w:val="20"/>
                <w:szCs w:val="20"/>
              </w:rPr>
              <w:t>ідлітків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(до 350 </w:t>
            </w:r>
            <w:proofErr w:type="spellStart"/>
            <w:r w:rsidRPr="001C02BC">
              <w:rPr>
                <w:bCs/>
                <w:sz w:val="20"/>
                <w:szCs w:val="20"/>
              </w:rPr>
              <w:t>осіб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1C02BC">
              <w:rPr>
                <w:bCs/>
                <w:sz w:val="20"/>
                <w:szCs w:val="20"/>
              </w:rPr>
              <w:t>добу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) на </w:t>
            </w:r>
            <w:proofErr w:type="spellStart"/>
            <w:r w:rsidRPr="001C02BC">
              <w:rPr>
                <w:bCs/>
                <w:sz w:val="20"/>
                <w:szCs w:val="20"/>
              </w:rPr>
              <w:t>територіях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паркових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зон м. </w:t>
            </w:r>
            <w:proofErr w:type="spellStart"/>
            <w:r w:rsidRPr="001C02BC">
              <w:rPr>
                <w:bCs/>
                <w:sz w:val="20"/>
                <w:szCs w:val="20"/>
              </w:rPr>
              <w:t>Сєвєродонецька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r w:rsidR="00705796" w:rsidRPr="001C02BC">
              <w:rPr>
                <w:bCs/>
                <w:sz w:val="20"/>
                <w:szCs w:val="20"/>
                <w:lang w:val="uk-UA"/>
              </w:rPr>
              <w:t>(</w:t>
            </w:r>
            <w:r w:rsidRPr="001C02BC">
              <w:rPr>
                <w:bCs/>
                <w:sz w:val="20"/>
                <w:szCs w:val="20"/>
              </w:rPr>
              <w:t xml:space="preserve">за </w:t>
            </w:r>
            <w:proofErr w:type="spellStart"/>
            <w:r w:rsidRPr="001C02BC">
              <w:rPr>
                <w:bCs/>
                <w:sz w:val="20"/>
                <w:szCs w:val="20"/>
              </w:rPr>
              <w:t>кошти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місцевого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бюджету, </w:t>
            </w:r>
            <w:proofErr w:type="spellStart"/>
            <w:r w:rsidRPr="001C02BC">
              <w:rPr>
                <w:bCs/>
                <w:sz w:val="20"/>
                <w:szCs w:val="20"/>
              </w:rPr>
              <w:t>спонсорської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02BC">
              <w:rPr>
                <w:bCs/>
                <w:sz w:val="20"/>
                <w:szCs w:val="20"/>
              </w:rPr>
              <w:t>допомоги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C02BC">
              <w:rPr>
                <w:bCs/>
                <w:sz w:val="20"/>
                <w:szCs w:val="20"/>
              </w:rPr>
              <w:t>грантових</w:t>
            </w:r>
            <w:proofErr w:type="spellEnd"/>
            <w:r w:rsidRPr="001C02BC">
              <w:rPr>
                <w:bCs/>
                <w:sz w:val="20"/>
                <w:szCs w:val="20"/>
              </w:rPr>
              <w:t xml:space="preserve"> программ </w:t>
            </w:r>
            <w:r w:rsidR="00705796" w:rsidRPr="001C02BC"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1C02BC">
              <w:rPr>
                <w:bCs/>
                <w:sz w:val="20"/>
                <w:szCs w:val="20"/>
              </w:rPr>
              <w:t xml:space="preserve">до 200 </w:t>
            </w:r>
            <w:proofErr w:type="spellStart"/>
            <w:r w:rsidRPr="001C02BC">
              <w:rPr>
                <w:bCs/>
                <w:sz w:val="20"/>
                <w:szCs w:val="20"/>
              </w:rPr>
              <w:t>тис.грн</w:t>
            </w:r>
            <w:proofErr w:type="spellEnd"/>
            <w:r w:rsidRPr="001C02BC">
              <w:rPr>
                <w:bCs/>
                <w:sz w:val="20"/>
                <w:szCs w:val="20"/>
              </w:rPr>
              <w:t>).</w:t>
            </w:r>
          </w:p>
          <w:p w:rsidR="00A83C87" w:rsidRPr="001C02BC" w:rsidRDefault="00A83C87" w:rsidP="00A83C87">
            <w:pPr>
              <w:spacing w:after="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Використання продукту проекту забезпечуватиме такі очікувані локальні результати -</w:t>
            </w:r>
          </w:p>
          <w:p w:rsidR="00A83C87" w:rsidRPr="001C02BC" w:rsidRDefault="00A83C87" w:rsidP="00A83C87">
            <w:pPr>
              <w:spacing w:after="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за індикаторами соціальних ефектів:</w:t>
            </w:r>
          </w:p>
          <w:p w:rsidR="00A83C87" w:rsidRPr="001C02BC" w:rsidRDefault="00A83C87" w:rsidP="00A83C8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Кількість відвідувачів мережі наметових таборів</w:t>
            </w:r>
            <w:r w:rsidR="00A937B7" w:rsidRPr="001C02BC">
              <w:rPr>
                <w:sz w:val="20"/>
                <w:szCs w:val="20"/>
                <w:lang w:val="uk-UA" w:eastAsia="uk-UA"/>
              </w:rPr>
              <w:t xml:space="preserve"> при гарантованому сервісі </w:t>
            </w:r>
            <w:proofErr w:type="spellStart"/>
            <w:r w:rsidR="00A937B7" w:rsidRPr="001C02BC">
              <w:rPr>
                <w:sz w:val="20"/>
                <w:szCs w:val="20"/>
                <w:lang w:val="uk-UA" w:eastAsia="uk-UA"/>
              </w:rPr>
              <w:t>обслуговання</w:t>
            </w:r>
            <w:proofErr w:type="spellEnd"/>
            <w:r w:rsidR="00A937B7" w:rsidRPr="001C02BC">
              <w:rPr>
                <w:sz w:val="20"/>
                <w:szCs w:val="20"/>
                <w:lang w:val="uk-UA" w:eastAsia="uk-UA"/>
              </w:rPr>
              <w:t xml:space="preserve"> може </w:t>
            </w:r>
            <w:proofErr w:type="spellStart"/>
            <w:r w:rsidR="00A937B7" w:rsidRPr="001C02BC">
              <w:rPr>
                <w:sz w:val="20"/>
                <w:szCs w:val="20"/>
                <w:lang w:val="uk-UA" w:eastAsia="uk-UA"/>
              </w:rPr>
              <w:t>досягати</w:t>
            </w:r>
            <w:r w:rsidRPr="001C02BC">
              <w:rPr>
                <w:sz w:val="20"/>
                <w:szCs w:val="20"/>
                <w:lang w:val="uk-UA" w:eastAsia="uk-UA"/>
              </w:rPr>
              <w:t>–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до 350 на добу;</w:t>
            </w:r>
          </w:p>
          <w:p w:rsidR="00A83C87" w:rsidRPr="001C02BC" w:rsidRDefault="00A83C87" w:rsidP="00A83C8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Кількість додатково створених робочих місць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становитоме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– 10-15;.</w:t>
            </w:r>
          </w:p>
          <w:p w:rsidR="00A83C87" w:rsidRPr="001C02BC" w:rsidRDefault="00A83C87" w:rsidP="00A83C8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Локальний розвиток та відновлення інфраструктури міста (паркових зон) </w:t>
            </w:r>
            <w:r w:rsidR="00A937B7" w:rsidRPr="001C02BC">
              <w:rPr>
                <w:sz w:val="20"/>
                <w:szCs w:val="20"/>
                <w:lang w:val="uk-UA" w:eastAsia="uk-UA"/>
              </w:rPr>
              <w:t xml:space="preserve">буде проведено </w:t>
            </w:r>
            <w:r w:rsidRPr="001C02BC">
              <w:rPr>
                <w:sz w:val="20"/>
                <w:szCs w:val="20"/>
                <w:lang w:val="uk-UA" w:eastAsia="uk-UA"/>
              </w:rPr>
              <w:t xml:space="preserve">на суму до 45 тис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.</w:t>
            </w:r>
          </w:p>
          <w:p w:rsidR="00A83C87" w:rsidRPr="001C02BC" w:rsidRDefault="00A83C87" w:rsidP="00A83C87">
            <w:pPr>
              <w:spacing w:after="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за індикаторами фінансово-економічних ефектів:</w:t>
            </w:r>
          </w:p>
          <w:p w:rsidR="00A83C87" w:rsidRPr="001C02BC" w:rsidRDefault="00A937B7" w:rsidP="00A83C87">
            <w:pPr>
              <w:spacing w:after="0" w:line="240" w:lineRule="auto"/>
              <w:ind w:left="417"/>
              <w:rPr>
                <w:sz w:val="20"/>
                <w:szCs w:val="20"/>
                <w:lang w:val="uk-UA" w:eastAsia="uk-UA"/>
              </w:rPr>
            </w:pP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-до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 90 тис. грн. буде досягати </w:t>
            </w:r>
            <w:r w:rsidR="00A83C87" w:rsidRPr="001C02BC">
              <w:rPr>
                <w:sz w:val="20"/>
                <w:szCs w:val="20"/>
                <w:lang w:val="uk-UA" w:eastAsia="uk-UA"/>
              </w:rPr>
              <w:t>економія бюджетних коштів об’єднаної територіальної громади (ОТГ) на організацію відпочинку дітей;</w:t>
            </w:r>
          </w:p>
          <w:p w:rsidR="00A83C87" w:rsidRPr="001C02BC" w:rsidRDefault="00A83C87" w:rsidP="00A83C87">
            <w:pPr>
              <w:spacing w:after="0" w:line="240" w:lineRule="auto"/>
              <w:ind w:left="41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- до 5 тис. грн. збільшення </w:t>
            </w:r>
            <w:r w:rsidR="00A937B7" w:rsidRPr="001C02BC">
              <w:rPr>
                <w:sz w:val="20"/>
                <w:szCs w:val="20"/>
                <w:lang w:val="uk-UA" w:eastAsia="uk-UA"/>
              </w:rPr>
              <w:t xml:space="preserve">додаткових </w:t>
            </w:r>
            <w:r w:rsidRPr="001C02BC">
              <w:rPr>
                <w:sz w:val="20"/>
                <w:szCs w:val="20"/>
                <w:lang w:val="uk-UA" w:eastAsia="uk-UA"/>
              </w:rPr>
              <w:t>надходжень  до бюджету ОТГ (від підприємців) які будуть надавати платні послуги відвідувачам таборів.</w:t>
            </w:r>
          </w:p>
          <w:p w:rsidR="00A83C87" w:rsidRPr="001C02BC" w:rsidRDefault="00A83C87" w:rsidP="00A83C8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за індикаторами політичних ефектів:</w:t>
            </w:r>
          </w:p>
          <w:p w:rsidR="00A83C87" w:rsidRPr="001C02BC" w:rsidRDefault="00A83C87" w:rsidP="00A83C8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-  збільшення рівня довіри до влади на 5% від існуючого рівня (опитування)</w:t>
            </w:r>
          </w:p>
          <w:p w:rsidR="00A83C87" w:rsidRPr="001C02BC" w:rsidRDefault="00A83C87" w:rsidP="00A83C87">
            <w:pPr>
              <w:spacing w:before="60" w:after="6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У більш віддаленій перспективі проект може забезпечити такі ефекти ( в загальному виразі - формування соціальної та громадської активності, відповідальності молоді, формування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підгрунття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ії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ефективного фізичного, інтелектуального  та духовного розвитку, патріотичного виховання)- а саме через:</w:t>
            </w:r>
          </w:p>
          <w:p w:rsidR="00A83C87" w:rsidRPr="001C02BC" w:rsidRDefault="00A83C87" w:rsidP="00A83C87">
            <w:pPr>
              <w:numPr>
                <w:ilvl w:val="0"/>
                <w:numId w:val="13"/>
              </w:numPr>
              <w:spacing w:before="60" w:after="6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збільшення кількості учасників спортивних секцій, гуртків самодіяльності;</w:t>
            </w:r>
          </w:p>
          <w:p w:rsidR="00A83C87" w:rsidRPr="001C02BC" w:rsidRDefault="00A83C87" w:rsidP="00A83C87">
            <w:pPr>
              <w:numPr>
                <w:ilvl w:val="0"/>
                <w:numId w:val="13"/>
              </w:numPr>
              <w:spacing w:before="60" w:after="6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організація нових  заходів партнерами та учасниками цього проекту ( громадськими організаціями, освітніми організаціями, </w:t>
            </w:r>
            <w:r w:rsidRPr="001C02BC">
              <w:rPr>
                <w:sz w:val="20"/>
                <w:szCs w:val="20"/>
                <w:lang w:val="uk-UA" w:eastAsia="uk-UA"/>
              </w:rPr>
              <w:lastRenderedPageBreak/>
              <w:t xml:space="preserve">підприємцями, 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грантодавцями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інш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>) спільно з відвідувачами наметових  таборів з тематики громадських ініціатив та інших питань;</w:t>
            </w:r>
          </w:p>
          <w:p w:rsidR="005D530E" w:rsidRPr="001C02BC" w:rsidRDefault="00A83C87" w:rsidP="00FF559A">
            <w:pPr>
              <w:spacing w:before="40" w:after="40" w:line="240" w:lineRule="auto"/>
              <w:ind w:left="34"/>
              <w:rPr>
                <w:b/>
                <w:i/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 інтеграція малого та середнього бізнесу в соціально-спрямованні проекти ( сприяння влади отриманню підприємцями статусу соціально спрямованого бізнесу, залучення додаткових грантів на ведення та розвиток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соціально-спрямованного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 бізнесу, реалізація проектів на основі приватно-державного партнерства).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9. Вимоги до якості проекту </w:t>
            </w:r>
            <w:r w:rsidRPr="001C02BC">
              <w:rPr>
                <w:b/>
                <w:bCs/>
                <w:sz w:val="20"/>
                <w:szCs w:val="20"/>
                <w:lang w:eastAsia="ru-RU"/>
              </w:rPr>
              <w:br/>
              <w:t>(</w:t>
            </w: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основні обмеження </w:t>
            </w:r>
            <w:r w:rsidRPr="001C02BC">
              <w:rPr>
                <w:b/>
                <w:bCs/>
                <w:sz w:val="20"/>
                <w:szCs w:val="20"/>
                <w:lang w:eastAsia="ru-RU"/>
              </w:rPr>
              <w:t>)</w:t>
            </w:r>
            <w:r w:rsidRPr="001C02BC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Requirements</w:t>
            </w:r>
            <w:proofErr w:type="spellEnd"/>
          </w:p>
        </w:tc>
        <w:tc>
          <w:tcPr>
            <w:tcW w:w="11511" w:type="dxa"/>
          </w:tcPr>
          <w:p w:rsidR="00A96DDB" w:rsidRPr="001C02BC" w:rsidRDefault="006C5F9F" w:rsidP="00F05A04">
            <w:pPr>
              <w:spacing w:before="40" w:after="40" w:line="240" w:lineRule="auto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 xml:space="preserve">Діюча мережа наметових таборів ( не менш 3-х) </w:t>
            </w:r>
          </w:p>
          <w:p w:rsidR="006C5F9F" w:rsidRPr="001C02BC" w:rsidRDefault="006C5F9F" w:rsidP="00F05A04">
            <w:pPr>
              <w:spacing w:before="40" w:after="40" w:line="240" w:lineRule="auto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 xml:space="preserve">Наявність інфраструктури яка забезпечує безпеку та санітарні норми у відповідності до вимог контролюючих органів ( при планових обсягах відвідувачів </w:t>
            </w:r>
            <w:proofErr w:type="spellStart"/>
            <w:r w:rsidRPr="001C02BC">
              <w:rPr>
                <w:i/>
                <w:sz w:val="20"/>
                <w:szCs w:val="20"/>
                <w:lang w:val="uk-UA"/>
              </w:rPr>
              <w:t>-до</w:t>
            </w:r>
            <w:proofErr w:type="spellEnd"/>
            <w:r w:rsidRPr="001C02BC">
              <w:rPr>
                <w:i/>
                <w:sz w:val="20"/>
                <w:szCs w:val="20"/>
                <w:lang w:val="uk-UA"/>
              </w:rPr>
              <w:t xml:space="preserve"> 350 осіб на день) </w:t>
            </w:r>
          </w:p>
          <w:p w:rsidR="006C5F9F" w:rsidRPr="001C02BC" w:rsidRDefault="006C5F9F" w:rsidP="00F05A04">
            <w:pPr>
              <w:spacing w:before="40" w:after="40" w:line="240" w:lineRule="auto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>Наявність необ</w:t>
            </w:r>
            <w:r w:rsidR="00972B61" w:rsidRPr="001C02BC">
              <w:rPr>
                <w:i/>
                <w:sz w:val="20"/>
                <w:szCs w:val="20"/>
                <w:lang w:val="uk-UA"/>
              </w:rPr>
              <w:t>хідного обладнання, ресурсів  та кваліфікованих кадрів для організації та проведення дозвілля та відпочинку дітей та підлітків.</w:t>
            </w:r>
          </w:p>
          <w:p w:rsidR="00972B61" w:rsidRPr="001C02BC" w:rsidRDefault="00B32D9B" w:rsidP="00F05A04">
            <w:pPr>
              <w:spacing w:before="40" w:after="40" w:line="240" w:lineRule="auto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 xml:space="preserve">ЗМІСТ: </w:t>
            </w:r>
            <w:r w:rsidR="00835642" w:rsidRPr="001C02BC">
              <w:rPr>
                <w:i/>
                <w:sz w:val="20"/>
                <w:szCs w:val="20"/>
                <w:lang w:val="uk-UA"/>
              </w:rPr>
              <w:t>залучитись підтримкою органів влади, громади, знайти спонсорів, відкрити мережу літніх таборів у відповідності до вимог законодавства, спланувати план дій на період функціонування продукту проекту, щодо змістовного наповнення відпочинку та оздоровлення дітей та підлітків.</w:t>
            </w:r>
          </w:p>
          <w:p w:rsidR="00A96DDB" w:rsidRPr="001C02BC" w:rsidRDefault="00972B61" w:rsidP="00F05A04">
            <w:pPr>
              <w:spacing w:before="40" w:after="40" w:line="240" w:lineRule="auto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 xml:space="preserve">ЧАС: реалізація проекту протягом 3 міс. </w:t>
            </w:r>
            <w:r w:rsidR="00B63844" w:rsidRPr="001C02BC">
              <w:rPr>
                <w:i/>
                <w:sz w:val="20"/>
                <w:szCs w:val="20"/>
                <w:lang w:val="uk-UA"/>
              </w:rPr>
              <w:t>Отримання продукту проекту до 01.06.2018р.</w:t>
            </w:r>
          </w:p>
          <w:p w:rsidR="005D530E" w:rsidRPr="001C02BC" w:rsidRDefault="00B32D9B" w:rsidP="00FF559A">
            <w:pPr>
              <w:spacing w:before="40" w:after="40" w:line="240" w:lineRule="auto"/>
              <w:rPr>
                <w:i/>
                <w:sz w:val="20"/>
                <w:szCs w:val="20"/>
                <w:lang w:val="uk-UA"/>
              </w:rPr>
            </w:pPr>
            <w:r w:rsidRPr="001C02BC">
              <w:rPr>
                <w:i/>
                <w:sz w:val="20"/>
                <w:szCs w:val="20"/>
                <w:lang w:val="uk-UA"/>
              </w:rPr>
              <w:t>РЕСУРСИ</w:t>
            </w:r>
            <w:r w:rsidR="00835642" w:rsidRPr="001C02BC">
              <w:rPr>
                <w:i/>
                <w:sz w:val="20"/>
                <w:szCs w:val="20"/>
                <w:lang w:val="uk-UA"/>
              </w:rPr>
              <w:t xml:space="preserve">: </w:t>
            </w:r>
            <w:r w:rsidRPr="001C02BC">
              <w:rPr>
                <w:i/>
                <w:sz w:val="20"/>
                <w:szCs w:val="20"/>
                <w:lang w:val="uk-UA"/>
              </w:rPr>
              <w:t xml:space="preserve">бюджет проекту не повинен перевищувати 200 </w:t>
            </w:r>
            <w:proofErr w:type="spellStart"/>
            <w:r w:rsidRPr="001C02BC">
              <w:rPr>
                <w:i/>
                <w:sz w:val="20"/>
                <w:szCs w:val="20"/>
                <w:lang w:val="uk-UA"/>
              </w:rPr>
              <w:t>тис.грн</w:t>
            </w:r>
            <w:proofErr w:type="spellEnd"/>
            <w:r w:rsidRPr="001C02BC">
              <w:rPr>
                <w:i/>
                <w:sz w:val="20"/>
                <w:szCs w:val="20"/>
                <w:lang w:val="uk-UA"/>
              </w:rPr>
              <w:t>.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10. Основні види діяльності </w:t>
            </w:r>
            <w:r w:rsidRPr="001C02BC">
              <w:rPr>
                <w:b/>
                <w:bCs/>
                <w:sz w:val="20"/>
                <w:szCs w:val="20"/>
                <w:lang w:eastAsia="ru-RU"/>
              </w:rPr>
              <w:t>(</w:t>
            </w: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групи робіт</w:t>
            </w:r>
            <w:r w:rsidRPr="001C02BC">
              <w:rPr>
                <w:b/>
                <w:bCs/>
                <w:sz w:val="20"/>
                <w:szCs w:val="20"/>
                <w:lang w:eastAsia="ru-RU"/>
              </w:rPr>
              <w:t>)</w:t>
            </w: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C02BC">
              <w:rPr>
                <w:b/>
                <w:bCs/>
                <w:sz w:val="20"/>
                <w:szCs w:val="20"/>
                <w:lang w:eastAsia="ru-RU"/>
              </w:rPr>
              <w:br/>
            </w: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за проектом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Main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activities</w:t>
            </w:r>
            <w:proofErr w:type="spellEnd"/>
          </w:p>
        </w:tc>
        <w:tc>
          <w:tcPr>
            <w:tcW w:w="11511" w:type="dxa"/>
          </w:tcPr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Формування команди управління проектом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 xml:space="preserve">Підготовці роботи за проектом (розробка проекту, проведення переговорів, визначення зацікавлених сторін та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/>
              </w:rPr>
              <w:t>інш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/>
              </w:rPr>
              <w:t>)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Проведення інформаційної компанії;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 xml:space="preserve"> Вивчення громадської думки, формування громадської підтримки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Взаємодія з зацікавленими сторонами отримання відповідних дозволів від контролюючих органів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Закупка обладнання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Доставка та монтаж обладнання, введення в дію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Набір та навчання персоналу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Розробка плану заходів в період функціонування мережі таборів, відпрацювання взаємодії</w:t>
            </w:r>
          </w:p>
          <w:p w:rsidR="00416E11" w:rsidRPr="001C02BC" w:rsidRDefault="00416E11" w:rsidP="00416E11">
            <w:pPr>
              <w:pStyle w:val="ac"/>
              <w:numPr>
                <w:ilvl w:val="0"/>
                <w:numId w:val="14"/>
              </w:num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Закриття проекту</w:t>
            </w:r>
          </w:p>
          <w:p w:rsidR="00785679" w:rsidRPr="001C02BC" w:rsidRDefault="00416E11" w:rsidP="00FF559A">
            <w:p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Пакети робіт 5-9 є критичними для отримання продукту проекту ( є складовими продукту проекту). Роботи 3,4 можуть виконуватись на протязі всього проекту ( а також в іншому аспекті і під час функціонування продукту проекту).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11. Орієнтовна тривалість проекту, </w:t>
            </w:r>
            <w:r w:rsidRPr="001C02BC">
              <w:rPr>
                <w:sz w:val="20"/>
                <w:szCs w:val="20"/>
                <w:lang w:val="uk-UA" w:eastAsia="ru-RU"/>
              </w:rPr>
              <w:t>основні періоди (етапи) реалізації проекту у часі</w:t>
            </w:r>
            <w:r w:rsidR="00CB4F55" w:rsidRPr="001C02BC">
              <w:rPr>
                <w:sz w:val="20"/>
                <w:szCs w:val="20"/>
                <w:lang w:val="uk-UA" w:eastAsia="ru-RU"/>
              </w:rPr>
              <w:t>, віхи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Milestones</w:t>
            </w:r>
            <w:proofErr w:type="spellEnd"/>
          </w:p>
        </w:tc>
        <w:tc>
          <w:tcPr>
            <w:tcW w:w="11511" w:type="dxa"/>
          </w:tcPr>
          <w:p w:rsidR="00A96DDB" w:rsidRPr="001C02BC" w:rsidRDefault="00A96DDB" w:rsidP="00A96DDB">
            <w:pPr>
              <w:spacing w:before="60" w:after="6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Тривалість проекту – 3 місяці.</w:t>
            </w:r>
          </w:p>
          <w:p w:rsidR="00A96DDB" w:rsidRPr="001C02BC" w:rsidRDefault="00A96DDB" w:rsidP="00A96DDB">
            <w:pPr>
              <w:spacing w:before="60" w:after="6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1 етап. Розповсюдження інформації про ідею проекту в ЗМІ. Проведення опитування щодо відношення громади до проекту – 3 тижні;</w:t>
            </w:r>
          </w:p>
          <w:p w:rsidR="00A96DDB" w:rsidRPr="001C02BC" w:rsidRDefault="00A96DDB" w:rsidP="00A96DDB">
            <w:pPr>
              <w:spacing w:before="60" w:after="6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2 етап. Розробка проекту, пошук спонсорів,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грантодавців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>, проведення переговорів та укладання контрактів з виконавцями, постачальниками, партнерами, створення координаційної структури -  від 1 до 3 місяців (паралельно з іншими етапами робіт – до завершення проекту);</w:t>
            </w:r>
          </w:p>
          <w:p w:rsidR="00A96DDB" w:rsidRPr="001C02BC" w:rsidRDefault="00A96DDB" w:rsidP="00A96DDB">
            <w:pPr>
              <w:spacing w:before="60" w:after="60" w:line="240" w:lineRule="auto"/>
              <w:ind w:left="57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bCs/>
                <w:sz w:val="20"/>
                <w:szCs w:val="20"/>
                <w:lang w:val="uk-UA"/>
              </w:rPr>
              <w:t xml:space="preserve">3 етап. Закупівлі спеціального обладнання його установка  - 1 місяць; </w:t>
            </w:r>
          </w:p>
          <w:p w:rsidR="00A96DDB" w:rsidRPr="001C02BC" w:rsidRDefault="00A96DDB" w:rsidP="00A96DDB">
            <w:pPr>
              <w:spacing w:before="60" w:after="60" w:line="240" w:lineRule="auto"/>
              <w:ind w:left="57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bCs/>
                <w:sz w:val="20"/>
                <w:szCs w:val="20"/>
                <w:lang w:val="uk-UA"/>
              </w:rPr>
              <w:t>4 етап  Отримання необхідних дозволів, навчання персоналу – 1 місяць;</w:t>
            </w:r>
          </w:p>
          <w:p w:rsidR="00A96DDB" w:rsidRPr="001C02BC" w:rsidRDefault="00A96DDB" w:rsidP="00A96DDB">
            <w:pPr>
              <w:spacing w:before="60" w:after="60" w:line="240" w:lineRule="auto"/>
              <w:ind w:left="57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bCs/>
                <w:sz w:val="20"/>
                <w:szCs w:val="20"/>
                <w:lang w:val="uk-UA"/>
              </w:rPr>
              <w:t>5 етап Відпрацювання взаємодії, підведення підсумку проекту – 1 тиждень ;</w:t>
            </w:r>
          </w:p>
          <w:p w:rsidR="005D530E" w:rsidRPr="001C02BC" w:rsidRDefault="00A96DDB" w:rsidP="00FF559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Відкриття мережі таборів - через три місяці  від старту проекту. Закриття (згортання діяльності) мережі таборів через шість місяців </w:t>
            </w:r>
            <w:r w:rsidRPr="001C02BC">
              <w:rPr>
                <w:sz w:val="20"/>
                <w:szCs w:val="20"/>
                <w:lang w:val="uk-UA" w:eastAsia="uk-UA"/>
              </w:rPr>
              <w:lastRenderedPageBreak/>
              <w:t>від початку проекту.</w:t>
            </w:r>
            <w:r w:rsidR="00FF559A">
              <w:rPr>
                <w:sz w:val="20"/>
                <w:szCs w:val="20"/>
                <w:lang w:val="uk-UA" w:eastAsia="uk-UA"/>
              </w:rPr>
              <w:t xml:space="preserve">  </w:t>
            </w:r>
            <w:bookmarkStart w:id="0" w:name="_GoBack"/>
            <w:bookmarkEnd w:id="0"/>
            <w:r w:rsidRPr="001C02BC">
              <w:rPr>
                <w:bCs/>
                <w:i/>
                <w:sz w:val="20"/>
                <w:szCs w:val="20"/>
                <w:lang w:val="uk-UA"/>
              </w:rPr>
              <w:t>Віхи: за етапами проекту.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60745C" w:rsidRPr="001C02BC" w:rsidRDefault="0060745C" w:rsidP="0060745C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lastRenderedPageBreak/>
              <w:t>12. Орієнтовна вартість проекту та ресурси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Resources</w:t>
            </w:r>
            <w:proofErr w:type="spellEnd"/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511" w:type="dxa"/>
          </w:tcPr>
          <w:p w:rsidR="00405E10" w:rsidRPr="001C02BC" w:rsidRDefault="00B47CED" w:rsidP="00862711">
            <w:pPr>
              <w:spacing w:before="40" w:after="40" w:line="240" w:lineRule="auto"/>
              <w:ind w:left="459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 xml:space="preserve">Загальна вартість проекту: 200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/>
              </w:rPr>
              <w:t>тис.грн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/>
              </w:rPr>
              <w:t>.</w:t>
            </w:r>
          </w:p>
          <w:p w:rsidR="00405E10" w:rsidRPr="001C02BC" w:rsidRDefault="00405E10" w:rsidP="00405E10">
            <w:pPr>
              <w:spacing w:before="60" w:after="6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1 етап. Розповсюдження інформації про ідею проекту в ЗМІ. Проведення опитування щодо відношення громади до проекту ( 3 тижні). - 7 тис. грн. бюджет міської ради;</w:t>
            </w:r>
          </w:p>
          <w:p w:rsidR="00405E10" w:rsidRPr="001C02BC" w:rsidRDefault="00405E10" w:rsidP="00405E10">
            <w:pPr>
              <w:spacing w:before="60" w:after="6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2 етап. Розробка проекту, пошук спонсорів,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грантодавців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, проведення переговорів та укладання контрактів з виконавцями, постачальниками, партнерами, створення координаційної структури -  від 1 до 3 місяців (паралельно з іншими етапами робіт – до завершення проекту) – 18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. бюджет міської ради; </w:t>
            </w:r>
          </w:p>
          <w:p w:rsidR="00405E10" w:rsidRPr="001C02BC" w:rsidRDefault="00405E10" w:rsidP="00405E10">
            <w:pPr>
              <w:spacing w:before="60" w:after="60" w:line="240" w:lineRule="auto"/>
              <w:ind w:left="57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bCs/>
                <w:sz w:val="20"/>
                <w:szCs w:val="20"/>
                <w:lang w:val="uk-UA"/>
              </w:rPr>
              <w:t xml:space="preserve">3 етап. Закупівлі спеціального обладнання його установка (1 місяць)  - грантові кошти, спонсорська допомога -50%, </w:t>
            </w:r>
            <w:r w:rsidRPr="001C02BC">
              <w:rPr>
                <w:sz w:val="20"/>
                <w:szCs w:val="20"/>
                <w:lang w:val="uk-UA" w:eastAsia="uk-UA"/>
              </w:rPr>
              <w:t xml:space="preserve">Бюджет міської ради -50%, загальна сума 140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 xml:space="preserve">. </w:t>
            </w:r>
          </w:p>
          <w:p w:rsidR="00405E10" w:rsidRPr="001C02BC" w:rsidRDefault="00405E10" w:rsidP="00405E10">
            <w:pPr>
              <w:spacing w:before="60" w:after="60" w:line="240" w:lineRule="auto"/>
              <w:ind w:left="57"/>
              <w:rPr>
                <w:bCs/>
                <w:sz w:val="20"/>
                <w:szCs w:val="20"/>
                <w:lang w:val="uk-UA"/>
              </w:rPr>
            </w:pPr>
            <w:r w:rsidRPr="001C02BC">
              <w:rPr>
                <w:bCs/>
                <w:sz w:val="20"/>
                <w:szCs w:val="20"/>
                <w:lang w:val="uk-UA"/>
              </w:rPr>
              <w:t xml:space="preserve">4 етап.  Отримання необхідних дозволів, навчання персоналу (1 місяць) -  30 </w:t>
            </w:r>
            <w:proofErr w:type="spellStart"/>
            <w:r w:rsidRPr="001C02BC">
              <w:rPr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1C02BC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1C02BC">
              <w:rPr>
                <w:sz w:val="20"/>
                <w:szCs w:val="20"/>
                <w:lang w:val="uk-UA" w:eastAsia="uk-UA"/>
              </w:rPr>
              <w:t xml:space="preserve"> бюджет міської ради;</w:t>
            </w:r>
          </w:p>
          <w:p w:rsidR="00405E10" w:rsidRPr="001C02BC" w:rsidRDefault="00405E10" w:rsidP="00405E10">
            <w:pPr>
              <w:spacing w:before="60" w:after="60" w:line="240" w:lineRule="auto"/>
              <w:ind w:left="57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bCs/>
                <w:sz w:val="20"/>
                <w:szCs w:val="20"/>
                <w:lang w:val="uk-UA"/>
              </w:rPr>
              <w:t xml:space="preserve">5 етап. Відпрацювання взаємодії, підведення підсумку проекту (1 тиждень)- 5 </w:t>
            </w:r>
            <w:proofErr w:type="spellStart"/>
            <w:r w:rsidRPr="001C02BC">
              <w:rPr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1C02BC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1C02BC">
              <w:rPr>
                <w:sz w:val="20"/>
                <w:szCs w:val="20"/>
                <w:lang w:val="uk-UA" w:eastAsia="uk-UA"/>
              </w:rPr>
              <w:t xml:space="preserve"> бюджет міської ради.</w:t>
            </w:r>
          </w:p>
          <w:p w:rsidR="00A07687" w:rsidRPr="001C02BC" w:rsidRDefault="00A07687" w:rsidP="00862711">
            <w:pPr>
              <w:spacing w:before="40" w:after="40" w:line="240" w:lineRule="auto"/>
              <w:ind w:left="459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 xml:space="preserve">Види ресурсів для реалізації проекту: </w:t>
            </w:r>
          </w:p>
          <w:p w:rsidR="00405E10" w:rsidRPr="001C02BC" w:rsidRDefault="00A07687" w:rsidP="00862711">
            <w:pPr>
              <w:spacing w:before="40" w:after="40" w:line="240" w:lineRule="auto"/>
              <w:ind w:left="459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Людські - команда управління проектом (6 осіб, включно з керівником) на громадських засадах.</w:t>
            </w:r>
          </w:p>
          <w:p w:rsidR="006074E7" w:rsidRPr="001C02BC" w:rsidRDefault="006074E7" w:rsidP="00862711">
            <w:pPr>
              <w:spacing w:before="40" w:after="40" w:line="240" w:lineRule="auto"/>
              <w:ind w:left="459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Персонал організацій які будуть залучені до виконання робіт за проектом.</w:t>
            </w:r>
          </w:p>
          <w:p w:rsidR="00A07687" w:rsidRPr="001C02BC" w:rsidRDefault="00A07687" w:rsidP="00862711">
            <w:pPr>
              <w:spacing w:before="40" w:after="40" w:line="240" w:lineRule="auto"/>
              <w:ind w:left="459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 xml:space="preserve">Матеріально-технічні ресурси: офісне приміщення,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/>
              </w:rPr>
              <w:t>орг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C02BC">
              <w:rPr>
                <w:bCs/>
                <w:i/>
                <w:sz w:val="20"/>
                <w:szCs w:val="20"/>
                <w:lang w:val="uk-UA"/>
              </w:rPr>
              <w:t>.техніка</w:t>
            </w:r>
            <w:proofErr w:type="spellEnd"/>
            <w:r w:rsidRPr="001C02BC">
              <w:rPr>
                <w:bCs/>
                <w:i/>
                <w:sz w:val="20"/>
                <w:szCs w:val="20"/>
                <w:lang w:val="uk-UA"/>
              </w:rPr>
              <w:t>, транспорт, зв'язок.</w:t>
            </w:r>
            <w:r w:rsidR="006074E7" w:rsidRPr="001C02BC">
              <w:rPr>
                <w:bCs/>
                <w:i/>
                <w:sz w:val="20"/>
                <w:szCs w:val="20"/>
                <w:lang w:val="uk-UA"/>
              </w:rPr>
              <w:t xml:space="preserve"> Обладнання яке буде придбано для облаштування наметових таборів. </w:t>
            </w:r>
          </w:p>
          <w:p w:rsidR="00A07687" w:rsidRPr="001C02BC" w:rsidRDefault="00A07687" w:rsidP="00862711">
            <w:pPr>
              <w:spacing w:before="40" w:after="40" w:line="240" w:lineRule="auto"/>
              <w:ind w:left="459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Фінансування проекту</w:t>
            </w:r>
            <w:r w:rsidR="00B47CED" w:rsidRPr="001C02BC">
              <w:rPr>
                <w:bCs/>
                <w:i/>
                <w:sz w:val="20"/>
                <w:szCs w:val="20"/>
                <w:lang w:val="uk-UA"/>
              </w:rPr>
              <w:t xml:space="preserve"> - % від загального бюджету</w:t>
            </w:r>
            <w:r w:rsidRPr="001C02BC">
              <w:rPr>
                <w:bCs/>
                <w:i/>
                <w:sz w:val="20"/>
                <w:szCs w:val="20"/>
                <w:lang w:val="uk-UA"/>
              </w:rPr>
              <w:t xml:space="preserve">: </w:t>
            </w:r>
            <w:r w:rsidR="00B47CED" w:rsidRPr="001C02BC">
              <w:rPr>
                <w:bCs/>
                <w:sz w:val="20"/>
                <w:szCs w:val="20"/>
                <w:lang w:val="uk-UA"/>
              </w:rPr>
              <w:t xml:space="preserve">грантові кошти, спонсорська допомога </w:t>
            </w:r>
            <w:r w:rsidR="00216AEE" w:rsidRPr="001C02BC">
              <w:rPr>
                <w:bCs/>
                <w:sz w:val="20"/>
                <w:szCs w:val="20"/>
                <w:lang w:val="uk-UA"/>
              </w:rPr>
              <w:t>– не менш 35</w:t>
            </w:r>
            <w:r w:rsidR="00B47CED" w:rsidRPr="001C02BC">
              <w:rPr>
                <w:bCs/>
                <w:sz w:val="20"/>
                <w:szCs w:val="20"/>
                <w:lang w:val="uk-UA"/>
              </w:rPr>
              <w:t xml:space="preserve">%, </w:t>
            </w:r>
            <w:r w:rsidR="00B47CED" w:rsidRPr="001C02BC">
              <w:rPr>
                <w:sz w:val="20"/>
                <w:szCs w:val="20"/>
                <w:lang w:val="uk-UA" w:eastAsia="uk-UA"/>
              </w:rPr>
              <w:t xml:space="preserve">Бюджет міської ради </w:t>
            </w:r>
            <w:r w:rsidR="00216AEE" w:rsidRPr="001C02BC">
              <w:rPr>
                <w:sz w:val="20"/>
                <w:szCs w:val="20"/>
                <w:lang w:val="uk-UA" w:eastAsia="uk-UA"/>
              </w:rPr>
              <w:t>– не більше 7</w:t>
            </w:r>
            <w:r w:rsidR="00B47CED" w:rsidRPr="001C02BC">
              <w:rPr>
                <w:sz w:val="20"/>
                <w:szCs w:val="20"/>
                <w:lang w:val="uk-UA" w:eastAsia="uk-UA"/>
              </w:rPr>
              <w:t xml:space="preserve">5%, </w:t>
            </w:r>
            <w:r w:rsidR="00216AEE" w:rsidRPr="001C02BC">
              <w:rPr>
                <w:sz w:val="20"/>
                <w:szCs w:val="20"/>
                <w:lang w:val="uk-UA" w:eastAsia="uk-UA"/>
              </w:rPr>
              <w:t>+ безоплатна робота представників громадських організацій та волонтерів.</w:t>
            </w:r>
          </w:p>
          <w:p w:rsidR="00405E10" w:rsidRPr="001C02BC" w:rsidRDefault="00A07687" w:rsidP="00FF559A">
            <w:p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>Ресурси для здійснення функціональної діяльності продукту проекту можуть бути наведені та оцінені окремо.</w:t>
            </w:r>
          </w:p>
        </w:tc>
      </w:tr>
      <w:tr w:rsidR="005D530E" w:rsidRPr="001C02BC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 xml:space="preserve">13. Ризики проекту 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Risks</w:t>
            </w:r>
            <w:proofErr w:type="spellEnd"/>
          </w:p>
        </w:tc>
        <w:tc>
          <w:tcPr>
            <w:tcW w:w="11511" w:type="dxa"/>
          </w:tcPr>
          <w:p w:rsidR="00A96DDB" w:rsidRPr="001C02BC" w:rsidRDefault="00A96DDB" w:rsidP="00A96DD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Найбільш ймовірними та небезпечними ризиками проекту є:</w:t>
            </w:r>
          </w:p>
          <w:p w:rsidR="00A96DDB" w:rsidRPr="001C02BC" w:rsidRDefault="00A96DDB" w:rsidP="00A96DD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Фінансові – небезпека нестачі фінансування для реалізації проекту у повному обсязі. Заходи – пошук додаткових джерел фінансування (на обласному, державному рівні), додаткове залучення приватних інвесторів, фондів міжнародної технічної допомоги.</w:t>
            </w:r>
            <w:r w:rsidRPr="001C02BC">
              <w:rPr>
                <w:sz w:val="20"/>
                <w:szCs w:val="20"/>
                <w:lang w:val="uk-UA"/>
              </w:rPr>
              <w:br/>
            </w:r>
            <w:r w:rsidRPr="001C02BC">
              <w:rPr>
                <w:sz w:val="20"/>
                <w:szCs w:val="20"/>
                <w:lang w:val="uk-UA" w:eastAsia="uk-UA"/>
              </w:rPr>
              <w:t xml:space="preserve">Управлінські – некваліфіковане управління проектом, недостатній рівень комунікацій зі структурами з (  управлінням освіти, управлінням охорони здоров’я, громадськими організаціями та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інш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>). Заходи – проведення короткострокового навчання з основ управління проектами для команди проекту, ретельний підбір членів команди проекту. Велика кількість учасників проекту -  можливі зміни пріоритетів, планів. Заходи – гнучке планування, резерви, заміни.</w:t>
            </w:r>
          </w:p>
          <w:p w:rsidR="005D530E" w:rsidRPr="001C02BC" w:rsidRDefault="00A96DDB" w:rsidP="00FF559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Кадрові – нестача кваліфікованих волонтерів – аніматорів, консультантів, організаторів, які будуть працювати з дітьми. Заходи – мотивація, укладання договорів, резерв.</w:t>
            </w:r>
          </w:p>
        </w:tc>
      </w:tr>
      <w:tr w:rsidR="005D530E" w:rsidRPr="00FF559A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r w:rsidRPr="001C02BC">
              <w:rPr>
                <w:b/>
                <w:bCs/>
                <w:sz w:val="20"/>
                <w:szCs w:val="20"/>
                <w:lang w:val="uk-UA" w:eastAsia="ru-RU"/>
              </w:rPr>
              <w:t>14. Сталість результатів проекту</w:t>
            </w:r>
          </w:p>
          <w:p w:rsidR="005D530E" w:rsidRPr="001C02BC" w:rsidRDefault="005D530E" w:rsidP="002E3370">
            <w:pPr>
              <w:spacing w:before="40" w:after="40" w:line="240" w:lineRule="auto"/>
              <w:ind w:left="57"/>
              <w:rPr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C02BC">
              <w:rPr>
                <w:bCs/>
                <w:i/>
                <w:sz w:val="20"/>
                <w:szCs w:val="20"/>
                <w:lang w:val="uk-UA" w:eastAsia="ru-RU"/>
              </w:rPr>
              <w:t>Sustainability</w:t>
            </w:r>
            <w:proofErr w:type="spellEnd"/>
          </w:p>
        </w:tc>
        <w:tc>
          <w:tcPr>
            <w:tcW w:w="11511" w:type="dxa"/>
          </w:tcPr>
          <w:p w:rsidR="00A96DDB" w:rsidRPr="001C02BC" w:rsidRDefault="00A96DDB" w:rsidP="00A96DD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Критичні фактори сталості проекту – фінансово-економічні, інституційні, соціальні.</w:t>
            </w:r>
          </w:p>
          <w:p w:rsidR="00A96DDB" w:rsidRPr="001C02BC" w:rsidRDefault="00A96DDB" w:rsidP="00A96DD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 xml:space="preserve">Фінансово-економічна сталість – забезпечення постійної підтримки (комунікаційної, PR у ЗМІ ), постійні комунікації із </w:t>
            </w:r>
            <w:proofErr w:type="spellStart"/>
            <w:r w:rsidRPr="001C02BC">
              <w:rPr>
                <w:sz w:val="20"/>
                <w:szCs w:val="20"/>
                <w:lang w:val="uk-UA" w:eastAsia="uk-UA"/>
              </w:rPr>
              <w:t>грантодавцями</w:t>
            </w:r>
            <w:proofErr w:type="spellEnd"/>
            <w:r w:rsidRPr="001C02BC">
              <w:rPr>
                <w:sz w:val="20"/>
                <w:szCs w:val="20"/>
                <w:lang w:val="uk-UA" w:eastAsia="uk-UA"/>
              </w:rPr>
              <w:t>, пошук додаткового фінансування.</w:t>
            </w:r>
          </w:p>
          <w:p w:rsidR="00A96DDB" w:rsidRPr="001C02BC" w:rsidRDefault="00A96DDB" w:rsidP="00A96DD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Інституційна сталість – забезпечення взаємодії бізнесу та влади задля  досягнення мети проекту та очікуваних результатів.</w:t>
            </w:r>
          </w:p>
          <w:p w:rsidR="00A96DDB" w:rsidRPr="001C02BC" w:rsidRDefault="00A96DDB" w:rsidP="00A96DDB">
            <w:p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sz w:val="20"/>
                <w:szCs w:val="20"/>
                <w:lang w:val="uk-UA" w:eastAsia="uk-UA"/>
              </w:rPr>
              <w:t>Соціальна сталість – формування суспільної думки на підтримку проекту як суспільно-корисного для громади заходу.</w:t>
            </w:r>
          </w:p>
          <w:p w:rsidR="00A96DDB" w:rsidRPr="001C02BC" w:rsidRDefault="00A96DDB" w:rsidP="001C02BC">
            <w:pPr>
              <w:spacing w:before="40" w:after="40" w:line="240" w:lineRule="auto"/>
              <w:rPr>
                <w:bCs/>
                <w:i/>
                <w:sz w:val="20"/>
                <w:szCs w:val="20"/>
                <w:lang w:val="uk-UA"/>
              </w:rPr>
            </w:pPr>
            <w:r w:rsidRPr="001C02BC">
              <w:rPr>
                <w:bCs/>
                <w:i/>
                <w:sz w:val="20"/>
                <w:szCs w:val="20"/>
                <w:lang w:val="uk-UA"/>
              </w:rPr>
              <w:t xml:space="preserve">Політична сталість </w:t>
            </w:r>
            <w:r w:rsidR="001C02BC" w:rsidRPr="001C02BC">
              <w:rPr>
                <w:bCs/>
                <w:i/>
                <w:sz w:val="20"/>
                <w:szCs w:val="20"/>
                <w:lang w:val="uk-UA"/>
              </w:rPr>
              <w:t>–</w:t>
            </w:r>
            <w:r w:rsidR="002100D9" w:rsidRPr="001C02BC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="001C02BC" w:rsidRPr="001C02BC">
              <w:rPr>
                <w:bCs/>
                <w:i/>
                <w:sz w:val="20"/>
                <w:szCs w:val="20"/>
                <w:lang w:val="uk-UA"/>
              </w:rPr>
              <w:t>в аспекті впливу на формування місцевої політики у відповідному напрямку та головне в зміні управлінської поведінки та форматів взаємовідносин влади та представників бізнесу і громади при вирішенні актуальних проблем.</w:t>
            </w:r>
          </w:p>
        </w:tc>
      </w:tr>
    </w:tbl>
    <w:p w:rsidR="001C02BC" w:rsidRPr="001C02BC" w:rsidRDefault="001C02BC" w:rsidP="00FF559A">
      <w:pPr>
        <w:spacing w:before="120" w:after="0" w:line="240" w:lineRule="auto"/>
        <w:rPr>
          <w:sz w:val="20"/>
          <w:szCs w:val="20"/>
          <w:lang w:val="uk-UA"/>
        </w:rPr>
      </w:pPr>
    </w:p>
    <w:sectPr w:rsidR="001C02BC" w:rsidRPr="001C02BC" w:rsidSect="00817FBA">
      <w:headerReference w:type="default" r:id="rId8"/>
      <w:pgSz w:w="16838" w:h="11906" w:orient="landscape"/>
      <w:pgMar w:top="993" w:right="536" w:bottom="426" w:left="709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E8" w:rsidRDefault="000411E8" w:rsidP="00230E0D">
      <w:pPr>
        <w:spacing w:after="0" w:line="240" w:lineRule="auto"/>
      </w:pPr>
      <w:r>
        <w:separator/>
      </w:r>
    </w:p>
  </w:endnote>
  <w:endnote w:type="continuationSeparator" w:id="0">
    <w:p w:rsidR="000411E8" w:rsidRDefault="000411E8" w:rsidP="0023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E8" w:rsidRDefault="000411E8" w:rsidP="00230E0D">
      <w:pPr>
        <w:spacing w:after="0" w:line="240" w:lineRule="auto"/>
      </w:pPr>
      <w:r>
        <w:separator/>
      </w:r>
    </w:p>
  </w:footnote>
  <w:footnote w:type="continuationSeparator" w:id="0">
    <w:p w:rsidR="000411E8" w:rsidRDefault="000411E8" w:rsidP="0023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6C" w:rsidRPr="00630CAD" w:rsidRDefault="00FF559A" w:rsidP="00230E0D">
    <w:pPr>
      <w:shd w:val="clear" w:color="auto" w:fill="FFFFFF"/>
      <w:spacing w:after="150" w:line="300" w:lineRule="atLeast"/>
      <w:rPr>
        <w:lang w:val="uk-UA"/>
      </w:rPr>
    </w:pPr>
    <w:r>
      <w:rPr>
        <w:b/>
        <w:bCs/>
        <w:lang w:val="uk-UA"/>
      </w:rPr>
      <w:t>Приклад 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20"/>
    <w:multiLevelType w:val="hybridMultilevel"/>
    <w:tmpl w:val="C1B82658"/>
    <w:lvl w:ilvl="0" w:tplc="65F4BCB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7F20931"/>
    <w:multiLevelType w:val="hybridMultilevel"/>
    <w:tmpl w:val="05A8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EEF"/>
    <w:multiLevelType w:val="hybridMultilevel"/>
    <w:tmpl w:val="990C0F16"/>
    <w:lvl w:ilvl="0" w:tplc="65F4BCB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DE41151"/>
    <w:multiLevelType w:val="hybridMultilevel"/>
    <w:tmpl w:val="1EC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47AA"/>
    <w:multiLevelType w:val="hybridMultilevel"/>
    <w:tmpl w:val="23480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636649"/>
    <w:multiLevelType w:val="hybridMultilevel"/>
    <w:tmpl w:val="958CB060"/>
    <w:lvl w:ilvl="0" w:tplc="65F4BCB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710200A"/>
    <w:multiLevelType w:val="multilevel"/>
    <w:tmpl w:val="8C38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C6414"/>
    <w:multiLevelType w:val="hybridMultilevel"/>
    <w:tmpl w:val="B37657EA"/>
    <w:lvl w:ilvl="0" w:tplc="9A22AE92">
      <w:start w:val="5"/>
      <w:numFmt w:val="bullet"/>
      <w:lvlText w:val="-"/>
      <w:lvlJc w:val="left"/>
      <w:pPr>
        <w:ind w:left="417" w:hanging="360"/>
      </w:pPr>
      <w:rPr>
        <w:rFonts w:ascii="Calibri" w:eastAsia="Times New Roman" w:hAnsi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583661BD"/>
    <w:multiLevelType w:val="multilevel"/>
    <w:tmpl w:val="C1B4872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9">
    <w:nsid w:val="5C271A0C"/>
    <w:multiLevelType w:val="hybridMultilevel"/>
    <w:tmpl w:val="7FFA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094F1E"/>
    <w:multiLevelType w:val="hybridMultilevel"/>
    <w:tmpl w:val="E834B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E193E2F"/>
    <w:multiLevelType w:val="hybridMultilevel"/>
    <w:tmpl w:val="83BEABAE"/>
    <w:lvl w:ilvl="0" w:tplc="B222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C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AA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0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E8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42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CA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5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6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B62657"/>
    <w:multiLevelType w:val="hybridMultilevel"/>
    <w:tmpl w:val="07548AD4"/>
    <w:lvl w:ilvl="0" w:tplc="65F4BCB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E0A1D0B"/>
    <w:multiLevelType w:val="hybridMultilevel"/>
    <w:tmpl w:val="5736043E"/>
    <w:lvl w:ilvl="0" w:tplc="65F4BCB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010FC7"/>
    <w:rsid w:val="00011AC6"/>
    <w:rsid w:val="000354B3"/>
    <w:rsid w:val="000411E8"/>
    <w:rsid w:val="00051CC0"/>
    <w:rsid w:val="00051F9D"/>
    <w:rsid w:val="00054EE7"/>
    <w:rsid w:val="00081315"/>
    <w:rsid w:val="00085C59"/>
    <w:rsid w:val="00093A9D"/>
    <w:rsid w:val="000A68CA"/>
    <w:rsid w:val="000C2B14"/>
    <w:rsid w:val="000E4FE2"/>
    <w:rsid w:val="001017A5"/>
    <w:rsid w:val="00102EC2"/>
    <w:rsid w:val="001043B0"/>
    <w:rsid w:val="001070E1"/>
    <w:rsid w:val="00126CFE"/>
    <w:rsid w:val="00147C56"/>
    <w:rsid w:val="0017207B"/>
    <w:rsid w:val="00175A52"/>
    <w:rsid w:val="001A32A2"/>
    <w:rsid w:val="001C02BC"/>
    <w:rsid w:val="001C2966"/>
    <w:rsid w:val="001D044D"/>
    <w:rsid w:val="001D6D61"/>
    <w:rsid w:val="002018DC"/>
    <w:rsid w:val="002100D9"/>
    <w:rsid w:val="00216AEE"/>
    <w:rsid w:val="0023002C"/>
    <w:rsid w:val="00230400"/>
    <w:rsid w:val="00230E0D"/>
    <w:rsid w:val="0024224C"/>
    <w:rsid w:val="002456FD"/>
    <w:rsid w:val="0025674D"/>
    <w:rsid w:val="0026365F"/>
    <w:rsid w:val="0026736A"/>
    <w:rsid w:val="002D36A5"/>
    <w:rsid w:val="002E3370"/>
    <w:rsid w:val="002F6ED5"/>
    <w:rsid w:val="0031433E"/>
    <w:rsid w:val="00317A7D"/>
    <w:rsid w:val="00326879"/>
    <w:rsid w:val="00385324"/>
    <w:rsid w:val="003960E9"/>
    <w:rsid w:val="003B58CC"/>
    <w:rsid w:val="003D13DB"/>
    <w:rsid w:val="003D4A59"/>
    <w:rsid w:val="003E6A0F"/>
    <w:rsid w:val="003F3BE8"/>
    <w:rsid w:val="00405E10"/>
    <w:rsid w:val="00416E11"/>
    <w:rsid w:val="00427DA5"/>
    <w:rsid w:val="0043454B"/>
    <w:rsid w:val="00446240"/>
    <w:rsid w:val="00485176"/>
    <w:rsid w:val="00486EB9"/>
    <w:rsid w:val="004C3C4D"/>
    <w:rsid w:val="004F7255"/>
    <w:rsid w:val="005035D4"/>
    <w:rsid w:val="005060F6"/>
    <w:rsid w:val="005071AD"/>
    <w:rsid w:val="005245C7"/>
    <w:rsid w:val="005278DA"/>
    <w:rsid w:val="00535079"/>
    <w:rsid w:val="00545B23"/>
    <w:rsid w:val="00551F18"/>
    <w:rsid w:val="00563CCA"/>
    <w:rsid w:val="005664D2"/>
    <w:rsid w:val="00580760"/>
    <w:rsid w:val="00596709"/>
    <w:rsid w:val="005B4C72"/>
    <w:rsid w:val="005D530E"/>
    <w:rsid w:val="0060745C"/>
    <w:rsid w:val="006074E7"/>
    <w:rsid w:val="00611313"/>
    <w:rsid w:val="00614C89"/>
    <w:rsid w:val="00625C9C"/>
    <w:rsid w:val="00630CAD"/>
    <w:rsid w:val="00656A96"/>
    <w:rsid w:val="00660957"/>
    <w:rsid w:val="006928C4"/>
    <w:rsid w:val="006C0B08"/>
    <w:rsid w:val="006C459D"/>
    <w:rsid w:val="006C5F9F"/>
    <w:rsid w:val="006D205D"/>
    <w:rsid w:val="006D6224"/>
    <w:rsid w:val="00705128"/>
    <w:rsid w:val="00705796"/>
    <w:rsid w:val="0070667E"/>
    <w:rsid w:val="00740682"/>
    <w:rsid w:val="00742F43"/>
    <w:rsid w:val="00785679"/>
    <w:rsid w:val="00786043"/>
    <w:rsid w:val="00795FFA"/>
    <w:rsid w:val="007C5069"/>
    <w:rsid w:val="007D5032"/>
    <w:rsid w:val="007E0612"/>
    <w:rsid w:val="007F1D33"/>
    <w:rsid w:val="007F46F4"/>
    <w:rsid w:val="008119E4"/>
    <w:rsid w:val="00817FBA"/>
    <w:rsid w:val="00833A1B"/>
    <w:rsid w:val="00835642"/>
    <w:rsid w:val="00837CEB"/>
    <w:rsid w:val="00854BDD"/>
    <w:rsid w:val="00862711"/>
    <w:rsid w:val="008639E0"/>
    <w:rsid w:val="008673B2"/>
    <w:rsid w:val="00870B51"/>
    <w:rsid w:val="008D0C83"/>
    <w:rsid w:val="008E13B3"/>
    <w:rsid w:val="008E7439"/>
    <w:rsid w:val="008E75BA"/>
    <w:rsid w:val="008F2BF3"/>
    <w:rsid w:val="008F35E1"/>
    <w:rsid w:val="009011A3"/>
    <w:rsid w:val="009126FA"/>
    <w:rsid w:val="00912A78"/>
    <w:rsid w:val="009156A7"/>
    <w:rsid w:val="00920375"/>
    <w:rsid w:val="00932179"/>
    <w:rsid w:val="00940852"/>
    <w:rsid w:val="00944563"/>
    <w:rsid w:val="009513B7"/>
    <w:rsid w:val="0096518E"/>
    <w:rsid w:val="00971A92"/>
    <w:rsid w:val="00972B61"/>
    <w:rsid w:val="00977B9A"/>
    <w:rsid w:val="00982D24"/>
    <w:rsid w:val="00996B1B"/>
    <w:rsid w:val="009D6A2E"/>
    <w:rsid w:val="009E3CA7"/>
    <w:rsid w:val="00A07687"/>
    <w:rsid w:val="00A1261F"/>
    <w:rsid w:val="00A21CB8"/>
    <w:rsid w:val="00A3103B"/>
    <w:rsid w:val="00A44929"/>
    <w:rsid w:val="00A4530C"/>
    <w:rsid w:val="00A83C87"/>
    <w:rsid w:val="00A937B7"/>
    <w:rsid w:val="00A96DDB"/>
    <w:rsid w:val="00AA407D"/>
    <w:rsid w:val="00AA753F"/>
    <w:rsid w:val="00AE531C"/>
    <w:rsid w:val="00B20A65"/>
    <w:rsid w:val="00B21529"/>
    <w:rsid w:val="00B32D9B"/>
    <w:rsid w:val="00B41A82"/>
    <w:rsid w:val="00B44AF2"/>
    <w:rsid w:val="00B47CED"/>
    <w:rsid w:val="00B63844"/>
    <w:rsid w:val="00B74EDB"/>
    <w:rsid w:val="00BC4FEE"/>
    <w:rsid w:val="00BC7F6C"/>
    <w:rsid w:val="00C01326"/>
    <w:rsid w:val="00C34F8A"/>
    <w:rsid w:val="00C535B9"/>
    <w:rsid w:val="00C54FA0"/>
    <w:rsid w:val="00C65263"/>
    <w:rsid w:val="00C739E9"/>
    <w:rsid w:val="00C96BD8"/>
    <w:rsid w:val="00CA4F96"/>
    <w:rsid w:val="00CB4F55"/>
    <w:rsid w:val="00CD3CAD"/>
    <w:rsid w:val="00CE2658"/>
    <w:rsid w:val="00CF2E08"/>
    <w:rsid w:val="00D03164"/>
    <w:rsid w:val="00D23A4A"/>
    <w:rsid w:val="00D7697C"/>
    <w:rsid w:val="00D8065F"/>
    <w:rsid w:val="00D84626"/>
    <w:rsid w:val="00D961ED"/>
    <w:rsid w:val="00DA47E4"/>
    <w:rsid w:val="00DC096C"/>
    <w:rsid w:val="00DD07EB"/>
    <w:rsid w:val="00DD24CC"/>
    <w:rsid w:val="00DE7173"/>
    <w:rsid w:val="00E037CB"/>
    <w:rsid w:val="00E073A4"/>
    <w:rsid w:val="00E508E0"/>
    <w:rsid w:val="00E90823"/>
    <w:rsid w:val="00E92078"/>
    <w:rsid w:val="00E92092"/>
    <w:rsid w:val="00E94DE1"/>
    <w:rsid w:val="00E95796"/>
    <w:rsid w:val="00EA03AF"/>
    <w:rsid w:val="00EA3125"/>
    <w:rsid w:val="00EA5CFB"/>
    <w:rsid w:val="00ED0ABF"/>
    <w:rsid w:val="00ED2A32"/>
    <w:rsid w:val="00EE19A6"/>
    <w:rsid w:val="00EE1C4C"/>
    <w:rsid w:val="00F05A04"/>
    <w:rsid w:val="00F17FE5"/>
    <w:rsid w:val="00F246CE"/>
    <w:rsid w:val="00F30728"/>
    <w:rsid w:val="00F41AC8"/>
    <w:rsid w:val="00F4402F"/>
    <w:rsid w:val="00F44D30"/>
    <w:rsid w:val="00F5223A"/>
    <w:rsid w:val="00F6223C"/>
    <w:rsid w:val="00F75827"/>
    <w:rsid w:val="00F97015"/>
    <w:rsid w:val="00FA0C7A"/>
    <w:rsid w:val="00FB0E79"/>
    <w:rsid w:val="00FC3692"/>
    <w:rsid w:val="00FD2646"/>
    <w:rsid w:val="00FD30D3"/>
    <w:rsid w:val="00FD4585"/>
    <w:rsid w:val="00FE1215"/>
    <w:rsid w:val="00FE19F2"/>
    <w:rsid w:val="00FE7A0C"/>
    <w:rsid w:val="00FF1FBB"/>
    <w:rsid w:val="00FF550C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060F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F5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060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1D04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044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66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0E0D"/>
    <w:rPr>
      <w:rFonts w:cs="Times New Roman"/>
    </w:rPr>
  </w:style>
  <w:style w:type="paragraph" w:styleId="a8">
    <w:name w:val="footer"/>
    <w:basedOn w:val="a"/>
    <w:link w:val="a9"/>
    <w:uiPriority w:val="99"/>
    <w:rsid w:val="002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3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0E0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17FBA"/>
    <w:pPr>
      <w:ind w:left="720"/>
    </w:pPr>
  </w:style>
  <w:style w:type="character" w:customStyle="1" w:styleId="21">
    <w:name w:val="Основной текст (2)_"/>
    <w:link w:val="210"/>
    <w:uiPriority w:val="99"/>
    <w:locked/>
    <w:rsid w:val="0092037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20375"/>
    <w:pPr>
      <w:widowControl w:val="0"/>
      <w:shd w:val="clear" w:color="auto" w:fill="FFFFFF"/>
      <w:spacing w:after="0" w:line="244" w:lineRule="exact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(2)"/>
    <w:uiPriority w:val="99"/>
    <w:rsid w:val="00920375"/>
  </w:style>
  <w:style w:type="character" w:customStyle="1" w:styleId="211">
    <w:name w:val="Основной текст (2) + Не полужирный1"/>
    <w:aliases w:val="Курсив"/>
    <w:uiPriority w:val="99"/>
    <w:rsid w:val="00920375"/>
    <w:rPr>
      <w:rFonts w:ascii="Times New Roman" w:hAnsi="Times New Roman"/>
      <w:b/>
      <w:i/>
      <w:sz w:val="22"/>
      <w:u w:val="none"/>
      <w:effect w:val="none"/>
    </w:rPr>
  </w:style>
  <w:style w:type="character" w:customStyle="1" w:styleId="apple-converted-space">
    <w:name w:val="apple-converted-space"/>
    <w:uiPriority w:val="99"/>
    <w:rsid w:val="009D6A2E"/>
  </w:style>
  <w:style w:type="character" w:customStyle="1" w:styleId="23">
    <w:name w:val="Основной текст (2) + Не полужирный"/>
    <w:uiPriority w:val="99"/>
    <w:rsid w:val="00EE1C4C"/>
    <w:rPr>
      <w:rFonts w:ascii="Times New Roman" w:hAnsi="Times New Roman"/>
      <w:b/>
      <w:shd w:val="clear" w:color="auto" w:fill="FFFFFF"/>
    </w:rPr>
  </w:style>
  <w:style w:type="paragraph" w:customStyle="1" w:styleId="Default">
    <w:name w:val="Default"/>
    <w:rsid w:val="00A83C87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FF55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060F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F5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060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1D04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044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66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0E0D"/>
    <w:rPr>
      <w:rFonts w:cs="Times New Roman"/>
    </w:rPr>
  </w:style>
  <w:style w:type="paragraph" w:styleId="a8">
    <w:name w:val="footer"/>
    <w:basedOn w:val="a"/>
    <w:link w:val="a9"/>
    <w:uiPriority w:val="99"/>
    <w:rsid w:val="002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3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0E0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17FBA"/>
    <w:pPr>
      <w:ind w:left="720"/>
    </w:pPr>
  </w:style>
  <w:style w:type="character" w:customStyle="1" w:styleId="21">
    <w:name w:val="Основной текст (2)_"/>
    <w:link w:val="210"/>
    <w:uiPriority w:val="99"/>
    <w:locked/>
    <w:rsid w:val="0092037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20375"/>
    <w:pPr>
      <w:widowControl w:val="0"/>
      <w:shd w:val="clear" w:color="auto" w:fill="FFFFFF"/>
      <w:spacing w:after="0" w:line="244" w:lineRule="exact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(2)"/>
    <w:uiPriority w:val="99"/>
    <w:rsid w:val="00920375"/>
  </w:style>
  <w:style w:type="character" w:customStyle="1" w:styleId="211">
    <w:name w:val="Основной текст (2) + Не полужирный1"/>
    <w:aliases w:val="Курсив"/>
    <w:uiPriority w:val="99"/>
    <w:rsid w:val="00920375"/>
    <w:rPr>
      <w:rFonts w:ascii="Times New Roman" w:hAnsi="Times New Roman"/>
      <w:b/>
      <w:i/>
      <w:sz w:val="22"/>
      <w:u w:val="none"/>
      <w:effect w:val="none"/>
    </w:rPr>
  </w:style>
  <w:style w:type="character" w:customStyle="1" w:styleId="apple-converted-space">
    <w:name w:val="apple-converted-space"/>
    <w:uiPriority w:val="99"/>
    <w:rsid w:val="009D6A2E"/>
  </w:style>
  <w:style w:type="character" w:customStyle="1" w:styleId="23">
    <w:name w:val="Основной текст (2) + Не полужирный"/>
    <w:uiPriority w:val="99"/>
    <w:rsid w:val="00EE1C4C"/>
    <w:rPr>
      <w:rFonts w:ascii="Times New Roman" w:hAnsi="Times New Roman"/>
      <w:b/>
      <w:shd w:val="clear" w:color="auto" w:fill="FFFFFF"/>
    </w:rPr>
  </w:style>
  <w:style w:type="paragraph" w:customStyle="1" w:styleId="Default">
    <w:name w:val="Default"/>
    <w:rsid w:val="00A83C87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FF55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26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2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Вам необхідно:</vt:lpstr>
    </vt:vector>
  </TitlesOfParts>
  <Company>slider999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 необхідно:</dc:title>
  <dc:creator>Admin</dc:creator>
  <cp:lastModifiedBy>User</cp:lastModifiedBy>
  <cp:revision>2</cp:revision>
  <cp:lastPrinted>2016-11-08T21:12:00Z</cp:lastPrinted>
  <dcterms:created xsi:type="dcterms:W3CDTF">2018-02-27T21:43:00Z</dcterms:created>
  <dcterms:modified xsi:type="dcterms:W3CDTF">2018-02-27T21:43:00Z</dcterms:modified>
</cp:coreProperties>
</file>