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65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1511"/>
      </w:tblGrid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27E" w:rsidRDefault="00691A71">
            <w:pPr>
              <w:spacing w:before="40" w:after="40"/>
              <w:ind w:left="57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Складова концепції проекту</w:t>
            </w:r>
          </w:p>
        </w:tc>
        <w:tc>
          <w:tcPr>
            <w:tcW w:w="11511" w:type="dxa"/>
            <w:shd w:val="clear" w:color="auto" w:fill="E3D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27E" w:rsidRDefault="00691A71">
            <w:pPr>
              <w:spacing w:before="40" w:after="40"/>
              <w:ind w:left="57"/>
              <w:contextualSpacing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Ваш</w:t>
            </w:r>
            <w:proofErr w:type="gramEnd"/>
            <w:r>
              <w:rPr>
                <w:b/>
                <w:sz w:val="20"/>
                <w:szCs w:val="20"/>
              </w:rPr>
              <w:t>і пропозиції щодо формулювання складових концепції проекту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Pr="006A4906" w:rsidRDefault="00691A71" w:rsidP="006A4906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  <w:lang w:val="uk-UA"/>
              </w:rPr>
            </w:pPr>
            <w:r w:rsidRPr="006A4906">
              <w:rPr>
                <w:b/>
                <w:sz w:val="20"/>
                <w:szCs w:val="20"/>
                <w:lang w:val="en-US"/>
              </w:rPr>
              <w:t>1. </w:t>
            </w:r>
            <w:r>
              <w:rPr>
                <w:b/>
                <w:sz w:val="20"/>
                <w:szCs w:val="20"/>
              </w:rPr>
              <w:t>Назва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проекту</w:t>
            </w:r>
            <w:r w:rsidRPr="006A4906">
              <w:rPr>
                <w:b/>
                <w:sz w:val="20"/>
                <w:szCs w:val="20"/>
                <w:lang w:val="en-US"/>
              </w:rPr>
              <w:br/>
            </w:r>
            <w:r w:rsidRPr="006A4906">
              <w:rPr>
                <w:i/>
                <w:sz w:val="20"/>
                <w:szCs w:val="20"/>
                <w:highlight w:val="yellow"/>
                <w:lang w:val="en-US"/>
              </w:rPr>
              <w:t>Title of the project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line="276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Розроблення довідника “Участь громади у прийнятті політичних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ішень”</w:t>
            </w:r>
          </w:p>
          <w:p w:rsidR="002B127E" w:rsidRDefault="00691A71">
            <w:pPr>
              <w:spacing w:line="276" w:lineRule="auto"/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(або механізм залучення всіх зацікавлених сторін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 xml:space="preserve">іально-економічного розвитку з використання партиципативних підходів)  у термін до </w:t>
            </w:r>
            <w:r>
              <w:rPr>
                <w:i/>
                <w:sz w:val="20"/>
                <w:szCs w:val="20"/>
              </w:rPr>
              <w:t xml:space="preserve">15.05.2018р. з дотриманням бюджету 50 тис. грн. у м. Житомир.  </w:t>
            </w:r>
          </w:p>
          <w:p w:rsidR="002B127E" w:rsidRDefault="00691A71" w:rsidP="006A4906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«Назва гасло»:</w:t>
            </w:r>
            <w:r>
              <w:rPr>
                <w:sz w:val="20"/>
                <w:szCs w:val="20"/>
              </w:rPr>
              <w:t xml:space="preserve"> </w:t>
            </w:r>
            <w:r w:rsidR="006A49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Ефективна комунікація - ефективна співпраця 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Pr="006A4906" w:rsidRDefault="00691A71">
            <w:pPr>
              <w:tabs>
                <w:tab w:val="center" w:pos="959"/>
              </w:tabs>
              <w:spacing w:before="40" w:after="40"/>
              <w:ind w:left="57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6A4906">
              <w:rPr>
                <w:b/>
                <w:sz w:val="20"/>
                <w:szCs w:val="20"/>
                <w:lang w:val="en-US"/>
              </w:rPr>
              <w:t>2. </w:t>
            </w:r>
            <w:r>
              <w:rPr>
                <w:b/>
                <w:sz w:val="20"/>
                <w:szCs w:val="20"/>
              </w:rPr>
              <w:t>Назва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організації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</w:rPr>
              <w:t>яка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подає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заявку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B127E" w:rsidRPr="006A4906" w:rsidRDefault="00691A71" w:rsidP="006A4906">
            <w:pPr>
              <w:spacing w:before="40" w:after="40"/>
              <w:ind w:left="57"/>
              <w:contextualSpacing w:val="0"/>
              <w:rPr>
                <w:rFonts w:ascii="Arial" w:eastAsia="Arial" w:hAnsi="Arial" w:cs="Arial"/>
                <w:color w:val="222222"/>
                <w:sz w:val="18"/>
                <w:szCs w:val="18"/>
                <w:lang w:val="uk-UA"/>
              </w:rPr>
            </w:pPr>
            <w:r w:rsidRPr="006A4906">
              <w:rPr>
                <w:i/>
                <w:sz w:val="20"/>
                <w:szCs w:val="20"/>
                <w:highlight w:val="yellow"/>
                <w:lang w:val="en-US"/>
              </w:rPr>
              <w:t>Name of the lead applicant (co-applicants and affiliated entities, if any)</w:t>
            </w:r>
            <w:r w:rsidRPr="006A4906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Житомирська міська рада</w:t>
            </w:r>
          </w:p>
          <w:p w:rsidR="002B127E" w:rsidRDefault="00691A71" w:rsidP="006A4906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співзаявник ГО “ГРЕЙ”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tabs>
                <w:tab w:val="center" w:pos="959"/>
              </w:tabs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Призначення проекту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Purpose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Житомир -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>істо обласного значення. Населення складає 270 тис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о</w:t>
            </w:r>
            <w:proofErr w:type="gramEnd"/>
            <w:r>
              <w:rPr>
                <w:i/>
                <w:sz w:val="20"/>
                <w:szCs w:val="20"/>
              </w:rPr>
              <w:t>сіб. Місту 1133 роки, розташоване за 120 км до м. Київ. Місто має змішану забудову в центрі та переважання багатоповерхової забудови в спальних районах. Житловий фонд нароховується біля 1500 б</w:t>
            </w:r>
            <w:r>
              <w:rPr>
                <w:i/>
                <w:sz w:val="20"/>
                <w:szCs w:val="20"/>
              </w:rPr>
              <w:t xml:space="preserve">удівель. Місто зручне за логістикою, так в межах 10-15 хв.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 xml:space="preserve">ішки  можна з центру дістатися до основних точок тяжіння. 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Місто політично активне та має відмінний досвід з залучення  фінансування та проектів міжнародної </w:t>
            </w:r>
            <w:proofErr w:type="gramStart"/>
            <w:r>
              <w:rPr>
                <w:i/>
                <w:sz w:val="20"/>
                <w:szCs w:val="20"/>
              </w:rPr>
              <w:t>техн</w:t>
            </w:r>
            <w:proofErr w:type="gramEnd"/>
            <w:r>
              <w:rPr>
                <w:i/>
                <w:sz w:val="20"/>
                <w:szCs w:val="20"/>
              </w:rPr>
              <w:t xml:space="preserve">ічної допомоги, тощо. Разом з тим, </w:t>
            </w:r>
            <w:r>
              <w:rPr>
                <w:i/>
                <w:sz w:val="20"/>
                <w:szCs w:val="20"/>
              </w:rPr>
              <w:t>що в мі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 xml:space="preserve">і постійно вкладаються кошти не лише з міського бюджету у проекти розвитку, є необхідність у налагоджені комунікації мешканців та влади при реалізації таких проектів. Адже реалізація проектів як за залучені так і  за кошти  міського бюджету часто </w:t>
            </w:r>
            <w:r>
              <w:rPr>
                <w:i/>
                <w:sz w:val="20"/>
                <w:szCs w:val="20"/>
              </w:rPr>
              <w:t>здійснюється без участі кінцевих споживачів та/чи інших зацікавлених сторін. Що часто має вплив на результати та продукт самого проекту, досягнення бажаної ефективності, а як можливий наслідок недовіру до влади в частині не ефективного витрачання коштів та</w:t>
            </w:r>
            <w:r>
              <w:rPr>
                <w:i/>
                <w:sz w:val="20"/>
                <w:szCs w:val="20"/>
              </w:rPr>
              <w:t xml:space="preserve"> неврахування потреб мешканців, не вирішення їх нагальних питань, відсутність можливості впливати на прийняття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ішення.  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Проблема полягає у нездатності громадян брати участь у політичному процесі -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 xml:space="preserve">ідготовці, прийнятті та впровадженні рішень. Пасивність </w:t>
            </w:r>
            <w:r>
              <w:rPr>
                <w:i/>
                <w:sz w:val="20"/>
                <w:szCs w:val="20"/>
              </w:rPr>
              <w:t xml:space="preserve">людей в політичній сфері - результат їх не достатньої освіти і відсутності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івних можливостей для участі в політиці. Тому є критична необхідність створити умови для активної участі (соціалізації) кожної особистості до прийняття рішень.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Дана проблема стосу</w:t>
            </w:r>
            <w:r>
              <w:rPr>
                <w:i/>
                <w:sz w:val="20"/>
                <w:szCs w:val="20"/>
              </w:rPr>
              <w:t xml:space="preserve">ється не тільки кінцевих користувачів чи зацікавлених осіб, а й бізнесу та молоді яка готова робити </w:t>
            </w:r>
            <w:proofErr w:type="gramStart"/>
            <w:r>
              <w:rPr>
                <w:i/>
                <w:sz w:val="20"/>
                <w:szCs w:val="20"/>
              </w:rPr>
              <w:t>св</w:t>
            </w:r>
            <w:proofErr w:type="gramEnd"/>
            <w:r>
              <w:rPr>
                <w:i/>
                <w:sz w:val="20"/>
                <w:szCs w:val="20"/>
              </w:rPr>
              <w:t xml:space="preserve">ій вклад у розвиток міста, але не має можливості, не знає чи не розуміє бюрократичних процесів, а основне мають брак часу щоб займатися постійним пошуком </w:t>
            </w:r>
            <w:r>
              <w:rPr>
                <w:i/>
                <w:sz w:val="20"/>
                <w:szCs w:val="20"/>
              </w:rPr>
              <w:t xml:space="preserve">варіантів донести свої потреби, ідеї до представників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 xml:space="preserve">ісцевої влади. Як наслідок інертність активної частини населення, недовіра, байдужість та відсутність  ефективної комунікації </w:t>
            </w:r>
            <w:proofErr w:type="gramStart"/>
            <w:r>
              <w:rPr>
                <w:i/>
                <w:sz w:val="20"/>
                <w:szCs w:val="20"/>
              </w:rPr>
              <w:t>між</w:t>
            </w:r>
            <w:proofErr w:type="gramEnd"/>
            <w:r>
              <w:rPr>
                <w:i/>
                <w:sz w:val="20"/>
                <w:szCs w:val="20"/>
              </w:rPr>
              <w:t xml:space="preserve"> владою та громадою.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Проблема не зникне без здійснення конкретних заходів, а навпаки загострбватиметься, адже відсутність можливості самореалізації в мі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>і спричинить пошук таких можливостей у інших містах чи країнах. Сьогодні в м</w:t>
            </w:r>
            <w:proofErr w:type="gramStart"/>
            <w:r>
              <w:rPr>
                <w:i/>
                <w:sz w:val="20"/>
                <w:szCs w:val="20"/>
              </w:rPr>
              <w:t>.Ж</w:t>
            </w:r>
            <w:proofErr w:type="gramEnd"/>
            <w:r>
              <w:rPr>
                <w:i/>
                <w:sz w:val="20"/>
                <w:szCs w:val="20"/>
              </w:rPr>
              <w:t>итомир, як і в інших містах України відбуваєт</w:t>
            </w:r>
            <w:r>
              <w:rPr>
                <w:i/>
                <w:sz w:val="20"/>
                <w:szCs w:val="20"/>
              </w:rPr>
              <w:t xml:space="preserve">ься відтік молоді, працездатного, активного населення. Надаючи можливість участі у прийнятті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ішень, створенню чи ініціюванню проектів розвитку,  причетності до розвитку міста, саморозвитку, створить сприятливі умови для розвитку всієї території регіону, щ</w:t>
            </w:r>
            <w:r>
              <w:rPr>
                <w:i/>
                <w:sz w:val="20"/>
                <w:szCs w:val="20"/>
              </w:rPr>
              <w:t>о вплине на добробут,  якість та комфорт мешканців всього міста.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Проблема відповідає стратегії розвитку міста, зокрема її </w:t>
            </w: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 xml:space="preserve">іорітету “Ефективне місто”, відповідає стратегії розвитку Н-області, пріорітету Н, відповідає Національній стратегії “Україна 2020” </w:t>
            </w:r>
            <w:r>
              <w:rPr>
                <w:i/>
                <w:sz w:val="20"/>
                <w:szCs w:val="20"/>
              </w:rPr>
              <w:t>пріорітету Н .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вирішення проблеми пропонуються такі варіанти: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Альтернатива 1 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Проведення інформаційної кампанії щодо можливостей участі активного населення міста у прийнятті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 щодо розвитку міста. Транслювання відеороликів, розміщення інформації в</w:t>
            </w:r>
            <w:r>
              <w:rPr>
                <w:i/>
                <w:sz w:val="20"/>
                <w:szCs w:val="20"/>
              </w:rPr>
              <w:t xml:space="preserve"> ЗМі тощо.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Альтернатива 2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Розроблення механізму залучення всіх зацікавлених сторін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іально-економічного розвитку міста з використання партиципативних підходів. Розроблення механізму здійснюватиметься на прикладі конкретного проекту із застосу</w:t>
            </w:r>
            <w:r>
              <w:rPr>
                <w:i/>
                <w:sz w:val="20"/>
                <w:szCs w:val="20"/>
              </w:rPr>
              <w:t xml:space="preserve">ванням різних методів залучення мешканців міста до участі у проекті не лише на стадії реалізації, а й на етапі інінціювання, обговорення можливих варіантів проекту тощо з врахування потреб зацікавлених осіб та еспертів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т.ч. враховуючи гендерний підхід 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бгрунтування вибору альтернативи. Враховуючи такі фактори:</w:t>
            </w:r>
          </w:p>
          <w:p w:rsidR="002B127E" w:rsidRDefault="00691A71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проблема має тенденцію до загострення;</w:t>
            </w:r>
          </w:p>
          <w:p w:rsidR="002B127E" w:rsidRDefault="00691A71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кількість </w:t>
            </w:r>
            <w:proofErr w:type="gramStart"/>
            <w:r>
              <w:rPr>
                <w:i/>
                <w:sz w:val="20"/>
                <w:szCs w:val="20"/>
              </w:rPr>
              <w:t>осіб</w:t>
            </w:r>
            <w:proofErr w:type="gramEnd"/>
            <w:r>
              <w:rPr>
                <w:i/>
                <w:sz w:val="20"/>
                <w:szCs w:val="20"/>
              </w:rPr>
              <w:t>, що мають негативний  вплив від проблеми зростатиме;</w:t>
            </w:r>
          </w:p>
          <w:p w:rsidR="002B127E" w:rsidRDefault="00691A71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незадоволення перебуванням в мі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>і підвищуватиметься;</w:t>
            </w:r>
          </w:p>
          <w:p w:rsidR="002B127E" w:rsidRDefault="00691A71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ЖМР має команду кваліфікованих спеці</w:t>
            </w:r>
            <w:r>
              <w:rPr>
                <w:i/>
                <w:sz w:val="20"/>
                <w:szCs w:val="20"/>
              </w:rPr>
              <w:t>алі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>ів</w:t>
            </w:r>
          </w:p>
          <w:p w:rsidR="002B127E" w:rsidRDefault="00691A71">
            <w:pPr>
              <w:widowControl w:val="0"/>
              <w:numPr>
                <w:ilvl w:val="0"/>
                <w:numId w:val="2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ЖМР має спроможність та досвід з реалізації подібних проекті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Більш привабливою та </w:t>
            </w:r>
            <w:proofErr w:type="gramStart"/>
            <w:r>
              <w:rPr>
                <w:i/>
                <w:sz w:val="20"/>
                <w:szCs w:val="20"/>
              </w:rPr>
              <w:t>перспективною</w:t>
            </w:r>
            <w:proofErr w:type="gramEnd"/>
            <w:r>
              <w:rPr>
                <w:i/>
                <w:sz w:val="20"/>
                <w:szCs w:val="20"/>
              </w:rPr>
              <w:t xml:space="preserve"> є друга альтернатива.</w:t>
            </w:r>
          </w:p>
          <w:p w:rsidR="002B127E" w:rsidRDefault="00691A71">
            <w:pPr>
              <w:widowControl w:val="0"/>
              <w:spacing w:before="40" w:after="40"/>
              <w:contextualSpacing w:val="0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Реалізація даного проекту сприятиме налагодженню комунікації між владою та громадою та надасть можливість участі у прийняті політ</w:t>
            </w:r>
            <w:r>
              <w:rPr>
                <w:i/>
                <w:sz w:val="20"/>
                <w:szCs w:val="20"/>
              </w:rPr>
              <w:t xml:space="preserve">ичних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 з розвитку міста.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 Мета проекту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Objectives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line="276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Метою проекту  є покращення співпраці між міською радою, представниками політичних сил, науковцями та мешканцями міста Житомир  шляхом розроблення довідника (механізму) залучення всіх зацікавлених сторін 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іально-економічного розвитку з викор</w:t>
            </w:r>
            <w:r>
              <w:rPr>
                <w:i/>
                <w:sz w:val="20"/>
                <w:szCs w:val="20"/>
              </w:rPr>
              <w:t xml:space="preserve">истання партиципативних підходів у термін до 15.05.2018р. з дотриманням бюджету 50 тис. грн. у м. Житомир. 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 Заінтересовані сторони 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Stakeholders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Заінтересовані сторони, що мають високий вплив на проект і високу важливість: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ЖМР - ініціатор, здійснює фін</w:t>
            </w:r>
            <w:r>
              <w:rPr>
                <w:i/>
                <w:sz w:val="20"/>
                <w:szCs w:val="20"/>
              </w:rPr>
              <w:t xml:space="preserve">ансування проекту з бюджету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>іста, управляє проектом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Мешканці міста - цільова група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 - цільова група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Б</w:t>
            </w:r>
            <w:proofErr w:type="gramEnd"/>
            <w:r>
              <w:rPr>
                <w:i/>
                <w:sz w:val="20"/>
                <w:szCs w:val="20"/>
              </w:rPr>
              <w:t>ізнес - партнери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Заінтересовані сторони мають високу важливість але низький вплив: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Кінцеві споживачі - бенефі</w:t>
            </w:r>
            <w:proofErr w:type="gramStart"/>
            <w:r>
              <w:rPr>
                <w:i/>
                <w:sz w:val="20"/>
                <w:szCs w:val="20"/>
              </w:rPr>
              <w:t>ціари</w:t>
            </w:r>
            <w:proofErr w:type="gramEnd"/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Заінтересовані сторони з високим впливом на проект, але результати на них безпосередньо спрямовані: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Виконавчі органи міської ради - партнери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Волонтери - виконавці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Засоби масової інформації - партнери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Pr="006A4906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6A4906">
              <w:rPr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b/>
                <w:sz w:val="20"/>
                <w:szCs w:val="20"/>
              </w:rPr>
              <w:t>Цільові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групи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B127E" w:rsidRPr="006A4906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6A4906">
              <w:rPr>
                <w:i/>
                <w:sz w:val="20"/>
                <w:szCs w:val="20"/>
                <w:highlight w:val="yellow"/>
                <w:lang w:val="en-US"/>
              </w:rPr>
              <w:t>Target group(s)</w:t>
            </w:r>
            <w:r w:rsidRPr="006A490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Мешканці міста Житомир - залучення до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ідготовки, прийняття та впровадження політичних рішень у  проектах соціально-економічного розвитку.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Керівництво виконавчих органів міської </w:t>
            </w:r>
            <w:proofErr w:type="gramStart"/>
            <w:r>
              <w:rPr>
                <w:i/>
                <w:sz w:val="20"/>
                <w:szCs w:val="20"/>
              </w:rPr>
              <w:t>ради</w:t>
            </w:r>
            <w:proofErr w:type="gramEnd"/>
            <w:r>
              <w:rPr>
                <w:i/>
                <w:sz w:val="20"/>
                <w:szCs w:val="20"/>
              </w:rPr>
              <w:t xml:space="preserve"> - </w:t>
            </w:r>
            <w:proofErr w:type="gramStart"/>
            <w:r>
              <w:rPr>
                <w:i/>
                <w:sz w:val="20"/>
                <w:szCs w:val="20"/>
              </w:rPr>
              <w:t>реал</w:t>
            </w:r>
            <w:proofErr w:type="gramEnd"/>
            <w:r>
              <w:rPr>
                <w:i/>
                <w:sz w:val="20"/>
                <w:szCs w:val="20"/>
              </w:rPr>
              <w:t>ізація нових, інноваційних ідей та задоволення потреб громади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Політ</w:t>
            </w:r>
            <w:r>
              <w:rPr>
                <w:i/>
                <w:sz w:val="20"/>
                <w:szCs w:val="20"/>
              </w:rPr>
              <w:t xml:space="preserve">ичне керівництво міста -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ідвищення довіри до влади, налагодження комунікації та співпраці з бізнесом та активними жителями міста.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Бенефі</w:t>
            </w:r>
            <w:proofErr w:type="gramStart"/>
            <w:r>
              <w:rPr>
                <w:b/>
                <w:sz w:val="20"/>
                <w:szCs w:val="20"/>
              </w:rPr>
              <w:t>ціари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Final beneficiaries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 - отримають чіткі механізми з реалізації своїх ідей або долучення до </w:t>
            </w: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>іоритетів розв</w:t>
            </w:r>
            <w:r>
              <w:rPr>
                <w:i/>
                <w:sz w:val="20"/>
                <w:szCs w:val="20"/>
              </w:rPr>
              <w:t>итку міста.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Мешканці міста -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іально-економічний розвиток міста та можливість участі у політичних рішеннях.</w:t>
            </w:r>
          </w:p>
          <w:p w:rsidR="002B127E" w:rsidRDefault="00691A71">
            <w:pPr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Керівництво органів виконавчої влади - чіткий план дій для ефективної комунікації з громадою міста.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Очікувані результати проекту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Estimated results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Соц</w:t>
            </w:r>
            <w:proofErr w:type="gramEnd"/>
            <w:r>
              <w:rPr>
                <w:b/>
                <w:i/>
                <w:sz w:val="20"/>
                <w:szCs w:val="20"/>
              </w:rPr>
              <w:t>іальні ефекти: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створення позитивного іміджу міської ради - партнера для ГО та активних мешканці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>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розробка чіткого процесу участі у прийнятті політичних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застосування партисипативних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ідходів у проектах соціально-економічного ро</w:t>
            </w:r>
            <w:r>
              <w:rPr>
                <w:i/>
                <w:sz w:val="20"/>
                <w:szCs w:val="20"/>
              </w:rPr>
              <w:t>звитку, що є відносною інновацією для даної території,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зменшення недовіри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органів самоврядування.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фінансово-економічний ефект: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ідвищення інституційної спроможності органів місцевого самоврядування,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ідвищення працездатності  мешканців міста та  участі їх у політичних процесах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ind w:left="34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зменшення кількості не якісних проектів розвитку,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ідвищення ефективності реалізації проектів.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управлінський ефекти: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отримано чіткий план дій з залучення всіх зацікавлених сторі</w:t>
            </w:r>
            <w:r>
              <w:rPr>
                <w:i/>
                <w:sz w:val="20"/>
                <w:szCs w:val="20"/>
              </w:rPr>
              <w:t xml:space="preserve">н до процесу прийняття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отримано досвід з ефективної комунікації проектів розвитку.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політичні ефекти: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 xml:space="preserve">ідвищення довіри до влади,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зміцнення відчуття спроможності прийняття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 та вплив на них.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Продукт проекту: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Розповсюджений серед громади міста</w:t>
            </w:r>
            <w:r>
              <w:rPr>
                <w:i/>
                <w:sz w:val="20"/>
                <w:szCs w:val="20"/>
              </w:rPr>
              <w:t xml:space="preserve"> Довідник (механізм) залучення всіх зацікавлених сторін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 xml:space="preserve">іально-економічного розвитку з використання партиципативних підходів та із залученням коштів партнерів використання продукту проекту забезпечуватиме такі очікувані локальні результати: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 індикаторами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іальних ефектів: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- 5000 осіб взяли активну участі </w:t>
            </w: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проекті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- 2000 осіб дали свої коментарі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та зворотній зв'язок щодо проекту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- 10% від кількості осіб-жителів міста Житомир, чули про можливітсь участі </w:t>
            </w: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проекті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- 50 осіб інших мі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 xml:space="preserve"> області взяли участь у проектів з метою імплементації отриманого досвіду у свої містах,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 індикаторами фінансово-економічних ефектів: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вдосконалено графіки реалізації  інших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 xml:space="preserve">іально-еконічного розвитку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індикаторами по</w:t>
            </w:r>
            <w:r>
              <w:rPr>
                <w:i/>
                <w:sz w:val="20"/>
                <w:szCs w:val="20"/>
              </w:rPr>
              <w:t>літичних ефекті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ідвищилася участь активних мешканців та ГО в інших проектах розвитку міста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з 15% до 25%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ідвищилася довіра до влади міста Житомир (опитування)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У б</w:t>
            </w:r>
            <w:proofErr w:type="gramEnd"/>
            <w:r>
              <w:rPr>
                <w:i/>
                <w:sz w:val="20"/>
                <w:szCs w:val="20"/>
              </w:rPr>
              <w:t xml:space="preserve">ільш віддаленій перспективі проект може забезпечити такі ефекти: 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вдосконалення р</w:t>
            </w:r>
            <w:r>
              <w:rPr>
                <w:i/>
                <w:sz w:val="20"/>
                <w:szCs w:val="20"/>
              </w:rPr>
              <w:t>оботи з управління проектами,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вчасність донесення інформації до зацікавлених сторін та врахування їх потреб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реалізації проекту,</w:t>
            </w:r>
          </w:p>
          <w:p w:rsidR="002B127E" w:rsidRDefault="00691A71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активної участі громади міста з залучення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ізних джерел фінансування свої ідей, а не лише за кошти міського бюджету.</w:t>
            </w:r>
          </w:p>
          <w:p w:rsidR="002B127E" w:rsidRDefault="00691A71" w:rsidP="006A4906">
            <w:pPr>
              <w:tabs>
                <w:tab w:val="left" w:pos="10155"/>
              </w:tabs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реалізація якісних проекті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та задоволення потреб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9. Вимоги до якості проекту </w:t>
            </w:r>
            <w:r>
              <w:rPr>
                <w:b/>
                <w:sz w:val="20"/>
                <w:szCs w:val="20"/>
              </w:rPr>
              <w:br/>
              <w:t>(основні обмеження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Requirements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Довідник (механізм) має бути простий для його використання,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Довідник (механізм) має включати в себе можливість долучення до процесу прийня</w:t>
            </w:r>
            <w:r>
              <w:rPr>
                <w:i/>
                <w:sz w:val="20"/>
                <w:szCs w:val="20"/>
              </w:rPr>
              <w:t xml:space="preserve">ття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>ішень в будь-який момент,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Довідник (механізм) бути доступний та не потребувати додаткових роз'яснень,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Довідник (механізм)  </w:t>
            </w:r>
            <w:proofErr w:type="gramStart"/>
            <w:r>
              <w:rPr>
                <w:i/>
                <w:sz w:val="20"/>
                <w:szCs w:val="20"/>
              </w:rPr>
              <w:t>повинен</w:t>
            </w:r>
            <w:proofErr w:type="gramEnd"/>
            <w:r>
              <w:rPr>
                <w:i/>
                <w:sz w:val="20"/>
                <w:szCs w:val="20"/>
              </w:rPr>
              <w:t xml:space="preserve"> бути описаний та вільно (безоплатно) розповсюджуватися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ЗМІ</w:t>
            </w:r>
            <w:proofErr w:type="gramStart"/>
            <w:r>
              <w:rPr>
                <w:b/>
                <w:i/>
                <w:sz w:val="20"/>
                <w:szCs w:val="20"/>
              </w:rPr>
              <w:t>СТ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розробити, відтестувати (перевірити на конкретному проект</w:t>
            </w:r>
            <w:r>
              <w:rPr>
                <w:i/>
                <w:sz w:val="20"/>
                <w:szCs w:val="20"/>
              </w:rPr>
              <w:t>і), відкорегувати, описати, промоціювати та розповсюдити механізм серед зацікавлених сторін.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час/графі</w:t>
            </w:r>
            <w:proofErr w:type="gramStart"/>
            <w:r>
              <w:rPr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до 15.05.2018р.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РЕСУРСИ: </w:t>
            </w:r>
            <w:r>
              <w:rPr>
                <w:i/>
                <w:sz w:val="20"/>
                <w:szCs w:val="20"/>
              </w:rPr>
              <w:t>не перевищувати бюджет 50 тис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рн.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Основні види діяльності (групи робіт) </w:t>
            </w:r>
            <w:r>
              <w:rPr>
                <w:b/>
                <w:sz w:val="20"/>
                <w:szCs w:val="20"/>
              </w:rPr>
              <w:br/>
              <w:t>за проектом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Main activities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 xml:space="preserve">ідготовчі роботи за проектом (визначення проекту, де будуть застосовано підхід ппртисипації, погодження з керівництвом). 2. Розробка плану партисипації зацікавлених сторін та графіку.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Реалізація </w:t>
            </w:r>
            <w:r>
              <w:rPr>
                <w:i/>
                <w:sz w:val="20"/>
                <w:szCs w:val="20"/>
              </w:rPr>
              <w:t xml:space="preserve">плану партисипації на обраному проекті.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Опрацювання результаті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та отримання зворотного зв'язку від учасників.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Занотовування результатів та розробка проекту довідника (механізму) залучення всіх зацікавлених сторін 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іально-економічного</w:t>
            </w:r>
            <w:r>
              <w:rPr>
                <w:i/>
                <w:sz w:val="20"/>
                <w:szCs w:val="20"/>
              </w:rPr>
              <w:t xml:space="preserve"> розвитку з використання партиципативних підходів.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Розробка дизайну довідника та його верстка.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8. Друк довідника, презентація результатів на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>іському форумі інтегрованого розвитку, розповсюдження.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 Орієнтовна тривалість проекту, </w:t>
            </w:r>
            <w:r>
              <w:rPr>
                <w:sz w:val="20"/>
                <w:szCs w:val="20"/>
              </w:rPr>
              <w:t xml:space="preserve">основні періоди (етапи) реалізації проекту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часі, віхи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Milestones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Орієнтовна тривалість проекту (в місяцях) - 6 місяці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Основні періоди (етапи) реалізації проекту </w:t>
            </w: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 xml:space="preserve"> часі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етап.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ідготовчі роботи за проектом (визначення проекту, де будуть застосовано підхід ппртисипації, погодження з керівництвом) - 3 тижні.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Розробка плану партисипації зацікавлених сторін та графіку - 1 тиждень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Реалізація плану партисипації на обран</w:t>
            </w:r>
            <w:r>
              <w:rPr>
                <w:i/>
                <w:sz w:val="20"/>
                <w:szCs w:val="20"/>
              </w:rPr>
              <w:t xml:space="preserve">ому проекті - 2 місяці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Опрацювання результаті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та отримання зворотного зв'язку від учасників - 2 тижні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Занотовування результатів та розробка проекту довідника (механізму) залучення всіх зацікавлених сторін 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іально-економічного розвитк</w:t>
            </w:r>
            <w:r>
              <w:rPr>
                <w:i/>
                <w:sz w:val="20"/>
                <w:szCs w:val="20"/>
              </w:rPr>
              <w:t>у з використання партиципативних підходів - 2 тижні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Розробка дизайну довідника та його верстка - 1 місяць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8. Друк довідника, презентація результатів на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>іському форумі інтегрованого розвитку, розповсюдження -1 місяць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Віхі проекту</w:t>
            </w:r>
            <w:r>
              <w:rPr>
                <w:i/>
                <w:sz w:val="20"/>
                <w:szCs w:val="20"/>
              </w:rPr>
              <w:t>: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ідготовчий етап за</w:t>
            </w:r>
            <w:r>
              <w:rPr>
                <w:i/>
                <w:sz w:val="20"/>
                <w:szCs w:val="20"/>
              </w:rPr>
              <w:t>вершено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реалізовано план партисипації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отримано зворотній зв'язок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розроблено дизай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проведено презентацію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проект завершено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Орієнтовна вартість проекту та ресурси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Resources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Людські ресурси, які мають критичний вплив на отримання якісного продукту проекту: 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Персонал ОМС, що управлятиме проектом. 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Фахівці з комунікації та зв’язків з громадськістю 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Фахівці видавничого бюро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Матеріально-технічні ресурси.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матеріально-технічне</w:t>
            </w:r>
            <w:r>
              <w:rPr>
                <w:i/>
                <w:sz w:val="20"/>
                <w:szCs w:val="20"/>
              </w:rPr>
              <w:t xml:space="preserve"> забезпечення </w:t>
            </w:r>
            <w:proofErr w:type="gramStart"/>
            <w:r>
              <w:rPr>
                <w:i/>
                <w:sz w:val="20"/>
                <w:szCs w:val="20"/>
              </w:rPr>
              <w:t>для</w:t>
            </w:r>
            <w:proofErr w:type="gramEnd"/>
            <w:r>
              <w:rPr>
                <w:i/>
                <w:sz w:val="20"/>
                <w:szCs w:val="20"/>
              </w:rPr>
              <w:t xml:space="preserve"> реалізації плану партисипації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3.Фінансові ресурси із визначенням таких елементі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: · 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Орієнтовна вартість проекту: 50 000 грн. 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Витрати за етапами проведення робіт за проектом та виконавці робі</w:t>
            </w:r>
            <w:proofErr w:type="gramStart"/>
            <w:r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1.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ідготовчі роботи за проектом (визначен</w:t>
            </w:r>
            <w:r>
              <w:rPr>
                <w:i/>
                <w:sz w:val="20"/>
                <w:szCs w:val="20"/>
              </w:rPr>
              <w:t>ня проекту, де будуть застосовано підхід партисипації, погодження з керівництвом) - 0,0 грн.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Розробка плану партисипації зацікавлених сторін та графіку - 0,0 грн. </w:t>
            </w:r>
          </w:p>
          <w:p w:rsidR="002B127E" w:rsidRDefault="00691A71">
            <w:pPr>
              <w:spacing w:before="40" w:after="40"/>
              <w:ind w:left="461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Реалізація плану партисипації на обраному проекті - 20 000 грн. </w:t>
            </w:r>
          </w:p>
          <w:p w:rsidR="002B127E" w:rsidRDefault="00691A71">
            <w:pPr>
              <w:spacing w:before="40" w:after="40"/>
              <w:ind w:left="461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Опрацювання результаті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та отримання зворотного зв'язку від учасників - 0,0 грн.</w:t>
            </w:r>
          </w:p>
          <w:p w:rsidR="002B127E" w:rsidRDefault="00691A71">
            <w:pPr>
              <w:spacing w:before="40" w:after="40"/>
              <w:ind w:left="461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Занотовування результатів та розробка проекту довідника (механізму) залучення всіх зацікавлених сторін  до проектів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іально-економічного розвитку з використання партиц</w:t>
            </w:r>
            <w:r>
              <w:rPr>
                <w:i/>
                <w:sz w:val="20"/>
                <w:szCs w:val="20"/>
              </w:rPr>
              <w:t>ипативних підходів- 0,0 грн.</w:t>
            </w:r>
          </w:p>
          <w:p w:rsidR="002B127E" w:rsidRDefault="00691A71">
            <w:pPr>
              <w:spacing w:before="40" w:after="40"/>
              <w:ind w:left="461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Розробка дизайну довідника та його верстка - 10 000 грн.</w:t>
            </w:r>
          </w:p>
          <w:p w:rsidR="002B127E" w:rsidRDefault="00691A71">
            <w:pPr>
              <w:spacing w:before="40" w:after="40"/>
              <w:ind w:left="461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8. Друк довідника, презентація результатів на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 xml:space="preserve">іському форумі інтегрованого розвитку, розповсюдження - 30 000 грн та </w:t>
            </w:r>
          </w:p>
          <w:p w:rsidR="002B127E" w:rsidRDefault="00691A71">
            <w:pPr>
              <w:spacing w:before="40" w:after="40"/>
              <w:ind w:left="461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20 000 грн. кошти ГО “ГРЕЙ”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ідведення підсумкі</w:t>
            </w:r>
            <w:r>
              <w:rPr>
                <w:i/>
                <w:sz w:val="20"/>
                <w:szCs w:val="20"/>
              </w:rPr>
              <w:t>в проекту. – 10 000 грн. бюджет міської ради</w:t>
            </w:r>
          </w:p>
          <w:p w:rsidR="002B127E" w:rsidRDefault="00691A71">
            <w:pPr>
              <w:spacing w:before="40" w:after="40"/>
              <w:ind w:left="459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Потенційні джерела фінансування проекту та доля </w:t>
            </w:r>
            <w:proofErr w:type="gramStart"/>
            <w:r>
              <w:rPr>
                <w:i/>
                <w:sz w:val="20"/>
                <w:szCs w:val="20"/>
              </w:rPr>
              <w:t>кожного</w:t>
            </w:r>
            <w:proofErr w:type="gramEnd"/>
            <w:r>
              <w:rPr>
                <w:i/>
                <w:sz w:val="20"/>
                <w:szCs w:val="20"/>
              </w:rPr>
              <w:t xml:space="preserve"> учасника фінансування: - Бюджет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  <w:r>
              <w:rPr>
                <w:i/>
                <w:sz w:val="20"/>
                <w:szCs w:val="20"/>
              </w:rPr>
              <w:t>іської ради – 10 000 грн. - ГО “ГРЕЙ” – 20 000 грн. Федеральне міністерством навколишнього середовища, охорони природи, бу</w:t>
            </w:r>
            <w:r>
              <w:rPr>
                <w:i/>
                <w:sz w:val="20"/>
                <w:szCs w:val="20"/>
              </w:rPr>
              <w:t>дівництва та реакторної безпеки Німеччини (BMUB) та Міністерством регіонального розвитку, будівництва та житлово-комунального господарства України (Мінрегіон) - 50 000 грн.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13. Ризики проекту 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Risks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Найбільш ймовірними та небезпечними ризиками проекту</w:t>
            </w:r>
            <w:proofErr w:type="gramStart"/>
            <w:r>
              <w:rPr>
                <w:i/>
                <w:sz w:val="20"/>
                <w:szCs w:val="20"/>
              </w:rPr>
              <w:t xml:space="preserve"> є: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Фінансові – небезпека нестачі фінансування </w:t>
            </w:r>
            <w:proofErr w:type="gramStart"/>
            <w:r>
              <w:rPr>
                <w:i/>
                <w:sz w:val="20"/>
                <w:szCs w:val="20"/>
              </w:rPr>
              <w:t>для</w:t>
            </w:r>
            <w:proofErr w:type="gramEnd"/>
            <w:r>
              <w:rPr>
                <w:i/>
                <w:sz w:val="20"/>
                <w:szCs w:val="20"/>
              </w:rPr>
              <w:t xml:space="preserve"> реалізації проекту у повному обсязі.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Заходи – пошук додаткових джерел фінансування, зокрема залучення місцевого бізнесу та інших партнері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Кадрові – нестача кваліфікованих кадрів виконавчих органів міської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ради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Заходи –  запрошення фахівців з інших мі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>, навчання персоналу міської ради.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Управлінські – некваліфіковане управління проектом, недостатній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івень комунікацій.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Заходи – проведення короткострокового навчання з основ управління проектами для команд</w:t>
            </w:r>
            <w:r>
              <w:rPr>
                <w:i/>
                <w:sz w:val="20"/>
                <w:szCs w:val="20"/>
              </w:rPr>
              <w:t>и проекту, можливо за дистанційною формою; залучення кваліфікованих спеціалі</w:t>
            </w:r>
            <w:proofErr w:type="gramStart"/>
            <w:r>
              <w:rPr>
                <w:i/>
                <w:sz w:val="20"/>
                <w:szCs w:val="20"/>
              </w:rPr>
              <w:t>ст</w:t>
            </w:r>
            <w:proofErr w:type="gramEnd"/>
            <w:r>
              <w:rPr>
                <w:i/>
                <w:sz w:val="20"/>
                <w:szCs w:val="20"/>
              </w:rPr>
              <w:t>ів.</w:t>
            </w:r>
          </w:p>
        </w:tc>
      </w:tr>
      <w:tr w:rsidR="002B127E">
        <w:trPr>
          <w:jc w:val="center"/>
        </w:trPr>
        <w:tc>
          <w:tcPr>
            <w:tcW w:w="4140" w:type="dxa"/>
            <w:shd w:val="clear" w:color="auto" w:fill="C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ind w:left="5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Сталість результаті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проекту</w:t>
            </w:r>
          </w:p>
          <w:p w:rsidR="002B127E" w:rsidRDefault="00691A71">
            <w:pPr>
              <w:spacing w:before="40" w:after="40"/>
              <w:ind w:left="57"/>
              <w:contextualSpacing w:val="0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Sustainability</w:t>
            </w:r>
          </w:p>
        </w:tc>
        <w:tc>
          <w:tcPr>
            <w:tcW w:w="1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Критичні фактори сталості проекту – фінансово-економічні, інституційні, </w:t>
            </w: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 xml:space="preserve">іальні. 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Фінансово-економічна сталість – виконавчі</w:t>
            </w:r>
            <w:r>
              <w:rPr>
                <w:i/>
                <w:sz w:val="20"/>
                <w:szCs w:val="20"/>
              </w:rPr>
              <w:t xml:space="preserve"> органи ради мають досвід з реалізації подібних проекті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та спроможність з налагодження комунікації з партнерами проекту.</w:t>
            </w:r>
          </w:p>
          <w:p w:rsidR="002B127E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Інституційна сталість – призначення відповідальної особи та створення постійно діючої робочої групи з партисипативних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ідходів при реалізації проектів соціально-економічного розвитку.</w:t>
            </w:r>
          </w:p>
          <w:p w:rsidR="002B127E" w:rsidRPr="006A4906" w:rsidRDefault="00691A71">
            <w:pPr>
              <w:spacing w:before="40" w:after="40"/>
              <w:contextualSpacing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Соц</w:t>
            </w:r>
            <w:proofErr w:type="gramEnd"/>
            <w:r>
              <w:rPr>
                <w:i/>
                <w:sz w:val="20"/>
                <w:szCs w:val="20"/>
              </w:rPr>
              <w:t>іальна сталість – висвітлення всього процесу в ЗМІ та формування сусп</w:t>
            </w:r>
            <w:r>
              <w:rPr>
                <w:i/>
                <w:sz w:val="20"/>
                <w:szCs w:val="20"/>
              </w:rPr>
              <w:t xml:space="preserve">ільної думки на активну участь у проектах розвитку та довіри до влади шляхом надання можливості участі у прийнятті політичних рішень. </w:t>
            </w:r>
          </w:p>
        </w:tc>
      </w:tr>
    </w:tbl>
    <w:p w:rsidR="002B127E" w:rsidRPr="006A4906" w:rsidRDefault="002B127E">
      <w:pPr>
        <w:spacing w:before="120"/>
        <w:contextualSpacing w:val="0"/>
        <w:rPr>
          <w:i/>
          <w:sz w:val="2"/>
          <w:szCs w:val="2"/>
        </w:rPr>
      </w:pPr>
      <w:bookmarkStart w:id="0" w:name="_GoBack"/>
      <w:bookmarkEnd w:id="0"/>
    </w:p>
    <w:sectPr w:rsidR="002B127E" w:rsidRPr="006A4906">
      <w:headerReference w:type="default" r:id="rId8"/>
      <w:pgSz w:w="16838" w:h="11906"/>
      <w:pgMar w:top="993" w:right="536" w:bottom="426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1" w:rsidRDefault="00691A71">
      <w:r>
        <w:separator/>
      </w:r>
    </w:p>
  </w:endnote>
  <w:endnote w:type="continuationSeparator" w:id="0">
    <w:p w:rsidR="00691A71" w:rsidRDefault="0069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1" w:rsidRDefault="00691A71">
      <w:r>
        <w:separator/>
      </w:r>
    </w:p>
  </w:footnote>
  <w:footnote w:type="continuationSeparator" w:id="0">
    <w:p w:rsidR="00691A71" w:rsidRDefault="0069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7E" w:rsidRPr="006A4906" w:rsidRDefault="006A4906">
    <w:pPr>
      <w:spacing w:after="150" w:line="300" w:lineRule="auto"/>
      <w:contextualSpacing w:val="0"/>
      <w:rPr>
        <w:sz w:val="22"/>
        <w:szCs w:val="22"/>
        <w:lang w:val="uk-UA"/>
      </w:rPr>
    </w:pPr>
    <w:r>
      <w:rPr>
        <w:b/>
        <w:sz w:val="22"/>
        <w:szCs w:val="22"/>
        <w:lang w:val="uk-UA"/>
      </w:rPr>
      <w:t>Приклад 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E2D"/>
    <w:multiLevelType w:val="multilevel"/>
    <w:tmpl w:val="C61CA0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AF07126"/>
    <w:multiLevelType w:val="multilevel"/>
    <w:tmpl w:val="1870D99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127E"/>
    <w:rsid w:val="002B127E"/>
    <w:rsid w:val="00691A71"/>
    <w:rsid w:val="006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A4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906"/>
  </w:style>
  <w:style w:type="paragraph" w:styleId="a8">
    <w:name w:val="footer"/>
    <w:basedOn w:val="a"/>
    <w:link w:val="a9"/>
    <w:uiPriority w:val="99"/>
    <w:unhideWhenUsed/>
    <w:rsid w:val="006A4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A4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906"/>
  </w:style>
  <w:style w:type="paragraph" w:styleId="a8">
    <w:name w:val="footer"/>
    <w:basedOn w:val="a"/>
    <w:link w:val="a9"/>
    <w:uiPriority w:val="99"/>
    <w:unhideWhenUsed/>
    <w:rsid w:val="006A4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2018-02-27T21:59:00Z</dcterms:created>
  <dcterms:modified xsi:type="dcterms:W3CDTF">2018-02-27T21:59:00Z</dcterms:modified>
</cp:coreProperties>
</file>