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СПЕЦІАЛЬНІСТЬ   012   ДОШКІЛЬНА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ІІІ Група (-и) ФПД – 31, 32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“Теорія та методика формування елементарних математичних уявлень”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Викладачі: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лектор, керівник  практичних занять: асист Гарасимів Я.Ю  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7"/>
        <w:tblW w:w="14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7"/>
        <w:gridCol w:w="2450"/>
        <w:gridCol w:w="2245"/>
        <w:gridCol w:w="3"/>
        <w:gridCol w:w="3507"/>
        <w:gridCol w:w="2"/>
        <w:gridCol w:w="3290"/>
        <w:gridCol w:w="1"/>
        <w:gridCol w:w="1692"/>
      </w:tblGrid>
      <w:tr>
        <w:trPr/>
        <w:tc>
          <w:tcPr>
            <w:tcW w:w="12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День і  дата  проведення  заняття (згідно розкладу ) </w:t>
            </w:r>
          </w:p>
        </w:tc>
        <w:tc>
          <w:tcPr>
            <w:tcW w:w="469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(згідно семестрового плану) </w:t>
            </w:r>
          </w:p>
        </w:tc>
        <w:tc>
          <w:tcPr>
            <w:tcW w:w="350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29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6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uk-UA" w:eastAsia="uk-UA"/>
              </w:rPr>
              <w:t xml:space="preserve">Контактні дані викладача (ів)  телефон, 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en-US" w:eastAsia="uk-UA"/>
              </w:rPr>
              <w:t>e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ru-RU" w:eastAsia="uk-UA"/>
              </w:rPr>
              <w:t>-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en-US" w:eastAsia="uk-UA"/>
              </w:rPr>
              <w:t>mail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uk-UA" w:eastAsia="uk-UA"/>
              </w:rPr>
              <w:t xml:space="preserve">, персональна сторінка на сайті кафедри , навчальна платформа 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en-US" w:eastAsia="uk-UA"/>
              </w:rPr>
              <w:t>moodle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uk-UA" w:eastAsia="uk-UA"/>
              </w:rPr>
              <w:t xml:space="preserve"> тощо </w:t>
            </w:r>
          </w:p>
        </w:tc>
      </w:tr>
      <w:tr>
        <w:trPr/>
        <w:tc>
          <w:tcPr>
            <w:tcW w:w="12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469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0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29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6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заняття </w:t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29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693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338" w:hRule="atLeast"/>
        </w:trPr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12.03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Ознайомлення дітей шостого року життя з геометричними фігурами та формою предметів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right="179" w:hanging="0"/>
              <w:contextualSpacing/>
              <w:jc w:val="both"/>
              <w:rPr>
                <w:rStyle w:val="Style12"/>
                <w:rFonts w:ascii="Times New Roman" w:hAnsi="Times New Roman" w:eastAsia="" w:cs="Times New Roman" w:eastAsiaTheme="minorEastAsia"/>
                <w:color w:val="auto"/>
                <w:sz w:val="20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0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ind w:left="37" w:right="179" w:hanging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bookmarkStart w:id="0" w:name="__DdeLink__550_3126752508"/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Програма розвитку дитини дошкільного віку «Українське довкілля»</w:t>
            </w:r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 / О.І.Білан, Л.М.Возна, О.Л. Максименко та ін. – Тернопіль: Мандрівець, 2012. – 264 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2011 – 246 с.  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uk-UA"/>
              </w:rPr>
              <w:t>380992524491</w:t>
            </w:r>
          </w:p>
        </w:tc>
      </w:tr>
      <w:tr>
        <w:trPr>
          <w:trHeight w:val="735" w:hRule="atLeast"/>
        </w:trPr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17.03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Прийоми ознайомлення дітей старшого дошкільного віку з плоскими і об’ємними  геометричними фігурами.</w:t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7" w:right="179" w:hanging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Style w:val="Style12"/>
                <w:rFonts w:eastAsia="" w:cs="Times New Roman" w:ascii="Times New Roman" w:hAnsi="Times New Roman" w:eastAsiaTheme="minorEastAsia"/>
                <w:color w:val="auto"/>
                <w:sz w:val="24"/>
                <w:szCs w:val="24"/>
                <w:lang w:val="uk-UA" w:eastAsia="uk-UA"/>
              </w:rPr>
              <w:t xml:space="preserve">Цікаві дидактичні ігри та вправи геометричного змісту. Наочність. 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2011  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457" w:hRule="atLeast"/>
        </w:trPr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19.03</w:t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Ознайомлення дітей старшого дошкільного віку з величиною предметів 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24.03</w:t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Вправляння дітей старшого дошкільного віку у порівнянні предметів з різними ознаками за величиною </w:t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Народні одиниці виміру. Цікаві ігри та вправи за змістом. На розвиток кмітливості. Наочність.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26 .03</w:t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Орієнтування дітей старшого дошкільного віку у просторі.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2011  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31.03</w:t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Дитактичні ігри та вправи. Наочність.  Народна творчість,художнє слово.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firstLine="450"/>
              <w:jc w:val="both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 2011 Електронні ресурси.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02.04</w:t>
            </w:r>
          </w:p>
        </w:tc>
        <w:tc>
          <w:tcPr>
            <w:tcW w:w="2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Орієнтування дітей старшого дошкільного віку у часі.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Використання у роботі вихователя моделей, дидактичних ігор та вправ, художня література .Народна творчість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Статті наукових журналів.</w:t>
            </w:r>
          </w:p>
        </w:tc>
        <w:tc>
          <w:tcPr>
            <w:tcW w:w="1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07.04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Демонстрування ігор, вправ, наочності  до них для закріплення знань про час.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09.04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  <w:t xml:space="preserve">Організація роботи з логіко -математичного розвитку дітей  старшого дошкільного віку.  </w:t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14.04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Демонстрування прийомів роботи з логіко-математичного розвитку на заняттях та інших видах діяльності в старшому дошкільному віці.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  <w:t>Планування роботи з логіко-математичного розвитку в старшому дошкільному віці.</w:t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16.04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  <w:t>Організація роботи з логіко-математичного розвитку в різновікових групах ЗДО.</w:t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21.04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Планування роботи з логіко-математичного розвитку  в різновікових групах ЗДО.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23.04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  <w:t>Діагностика математичного розвитку дітей дошкільного віку. Основні  показники спостереження  різних видів занять та роботи поза заняттям</w:t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28.04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Аналіз показників спостереження  на заняттях, іграх та інших видах діяльності.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30.04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  <w:t>Наступність в роботі ЗДО і школи з формувань математичних уявлень. Математичний розвиток дитини в сім’ї.</w:t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209" w:hRule="atLeast"/>
        </w:trPr>
        <w:tc>
          <w:tcPr>
            <w:tcW w:w="12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eastAsiaTheme="minorEastAsia"/>
                <w:lang w:val="uk-UA" w:eastAsia="uk-UA"/>
              </w:rPr>
              <w:t>05.05</w:t>
            </w:r>
          </w:p>
        </w:tc>
        <w:tc>
          <w:tcPr>
            <w:tcW w:w="24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Порівняльний аналіз підручників та програми ЗДО та І класу школи. Тематика консультацій, рекомендацій з питань “Готуємо дітей до сучасної школи”,  “Як навчити розв’язувати арифметичні задачі”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val="uk-UA" w:eastAsia="uk-UA"/>
              </w:rPr>
              <w:t>Тематика консультацій, рекомендацій з питань “Готуємо дітей до сучасної школи”,  “Як навчити розв’язувати арифметичні задачі”</w:t>
            </w:r>
          </w:p>
        </w:tc>
        <w:tc>
          <w:tcPr>
            <w:tcW w:w="329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школа,2011.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Програма розвитку дитини дошкільного віку «Українське довкілля»</w:t>
            </w:r>
          </w:p>
        </w:tc>
        <w:tc>
          <w:tcPr>
            <w:tcW w:w="1693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/>
      </w:pPr>
      <w:r>
        <w:rPr/>
      </w:r>
    </w:p>
    <w:sectPr>
      <w:type w:val="nextPage"/>
      <w:pgSz w:orient="landscape" w:w="15840" w:h="12240"/>
      <w:pgMar w:left="850" w:right="850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04ae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link w:val="10"/>
    <w:uiPriority w:val="9"/>
    <w:qFormat/>
    <w:rsid w:val="00a74a4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Normal"/>
    <w:link w:val="20"/>
    <w:uiPriority w:val="9"/>
    <w:qFormat/>
    <w:rsid w:val="00a74a4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Normal"/>
    <w:link w:val="30"/>
    <w:uiPriority w:val="9"/>
    <w:qFormat/>
    <w:rsid w:val="00a74a4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74a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74a4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74a4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4a4a"/>
    <w:rPr>
      <w:b/>
      <w:bCs/>
    </w:rPr>
  </w:style>
  <w:style w:type="character" w:styleId="Style11">
    <w:name w:val="Виділення"/>
    <w:basedOn w:val="DefaultParagraphFont"/>
    <w:uiPriority w:val="20"/>
    <w:qFormat/>
    <w:rsid w:val="00a74a4a"/>
    <w:rPr>
      <w:i/>
      <w:iCs/>
    </w:rPr>
  </w:style>
  <w:style w:type="character" w:styleId="12" w:customStyle="1">
    <w:name w:val="Гіперпосилання1"/>
    <w:qFormat/>
    <w:rsid w:val="001504ae"/>
    <w:rPr>
      <w:color w:val="000080"/>
      <w:u w:val="single"/>
    </w:rPr>
  </w:style>
  <w:style w:type="character" w:styleId="Style12">
    <w:name w:val="Гіперпосилання"/>
    <w:basedOn w:val="DefaultParagraphFont"/>
    <w:uiPriority w:val="99"/>
    <w:semiHidden/>
    <w:unhideWhenUsed/>
    <w:rsid w:val="000c529a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4">
    <w:name w:val="ListLabel 4"/>
    <w:qFormat/>
    <w:rPr>
      <w:b w:val="false"/>
      <w:sz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74a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74a4a"/>
    <w:pPr>
      <w:spacing w:before="0" w:after="200"/>
      <w:ind w:left="720" w:hanging="0"/>
      <w:contextualSpacing/>
    </w:pPr>
    <w:rPr>
      <w:rFonts w:eastAsia="Calibri" w:eastAsiaTheme="minorHAnsi"/>
      <w:lang w:val="en-US" w:eastAsia="en-US"/>
    </w:rPr>
  </w:style>
  <w:style w:type="paragraph" w:styleId="13" w:customStyle="1">
    <w:name w:val="Звичайний1"/>
    <w:qFormat/>
    <w:rsid w:val="001504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504ae"/>
    <w:pPr>
      <w:spacing w:after="0" w:line="240" w:lineRule="auto"/>
    </w:pPr>
    <w:rPr>
      <w:rFonts w:eastAsiaTheme="minorEastAsia"/>
      <w:lang w:val="uk-UA" w:eastAsia="uk-UA"/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Application>LibreOffice/6.2.3.2$Windows_X86_64 LibreOffice_project/aecc05fe267cc68dde00352a451aa867b3b546ac</Application>
  <Pages>5</Pages>
  <Words>641</Words>
  <Characters>4571</Characters>
  <CharactersWithSpaces>5326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2020-03-16T19:31:00Z</dcterms:created>
  <dc:creator>UserPC</dc:creator>
  <dc:description/>
  <dc:language>uk-UA</dc:language>
  <cp:lastModifiedBy/>
  <dcterms:modified xsi:type="dcterms:W3CDTF">2020-03-28T13:55:50Z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