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bookmarkStart w:id="0" w:name="__DdeLink__918_2761000241"/>
      <w:bookmarkEnd w:id="0"/>
      <w:r>
        <w:rPr>
          <w:rFonts w:cs="Times New Roman" w:ascii="Times New Roman" w:hAnsi="Times New Roman"/>
          <w:b/>
          <w:sz w:val="26"/>
          <w:szCs w:val="26"/>
        </w:rPr>
        <w:t>СПЕЦІАЛЬНІСТЬ   016 Спеціальна освіта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Курс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</w:t>
      </w:r>
      <w:r>
        <w:rPr>
          <w:rFonts w:cs="Times New Roman" w:ascii="Times New Roman" w:hAnsi="Times New Roman"/>
          <w:b/>
          <w:sz w:val="26"/>
          <w:szCs w:val="26"/>
        </w:rPr>
        <w:t>1   Група (-и) ФПЛ 11, ФПЛ 12</w:t>
      </w:r>
      <w:bookmarkStart w:id="1" w:name="_GoBack"/>
      <w:bookmarkEnd w:id="1"/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Дистанційне відпрацювання навчальної дисципліни   Мовленнєві системи та їх порушення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на період карантину з 06.04. по 24.04 2020 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Викладачі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Лектор — доц. Н.І.Рудкевич.                                                                     Керівник (-и) семінару асист.Дробіт Л.Р.  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b"/>
        <w:tblW w:w="157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3"/>
        <w:gridCol w:w="2691"/>
        <w:gridCol w:w="2551"/>
        <w:gridCol w:w="2"/>
        <w:gridCol w:w="3402"/>
        <w:gridCol w:w="3404"/>
        <w:gridCol w:w="2267"/>
      </w:tblGrid>
      <w:tr>
        <w:trPr/>
        <w:tc>
          <w:tcPr>
            <w:tcW w:w="13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5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26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Контактні дані викладача (ів)  телефон, </w:t>
            </w:r>
            <w:r>
              <w:rPr>
                <w:rFonts w:cs="Times New Roman" w:ascii="Times New Roman" w:hAnsi="Times New Roman"/>
                <w:b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  <w:r>
              <w:rPr>
                <w:rFonts w:cs="Times New Roman" w:ascii="Times New Roman" w:hAnsi="Times New Roman"/>
                <w:b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>
              <w:rPr>
                <w:rFonts w:cs="Times New Roman" w:ascii="Times New Roman" w:hAnsi="Times New Roman"/>
                <w:b/>
                <w:lang w:val="en-US"/>
              </w:rPr>
              <w:t>moodle</w:t>
            </w:r>
            <w:r>
              <w:rPr>
                <w:rFonts w:cs="Times New Roman" w:ascii="Times New Roman" w:hAnsi="Times New Roman"/>
                <w:b/>
              </w:rPr>
              <w:t xml:space="preserve"> тощо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Лекція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заняття </w:t>
            </w:r>
          </w:p>
        </w:tc>
        <w:tc>
          <w:tcPr>
            <w:tcW w:w="340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4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Тема 8.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Своєрідність мовного розвитку в дітей з порушеннями зору. Основні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завдання тифлології. Рекомендації тифлопедагогам при плануванні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корекційно-педагогічної роботи.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04" w:type="dxa"/>
            <w:gridSpan w:val="2"/>
            <w:tcBorders/>
            <w:shd w:fill="auto" w:val="clear"/>
          </w:tcPr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lang w:val="uk-UA"/>
              </w:rPr>
              <w:t xml:space="preserve">1. Перегляд наукових кіно стрічок щодо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uk-UA"/>
              </w:rPr>
              <w:t>мовного розвитку в дітей з порушеннями зору.</w:t>
            </w:r>
          </w:p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lang w:val="uk-UA"/>
              </w:rPr>
              <w:t>2.Добір методичних рекомендацій щодо роботи із даними порушеннями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ФПЛ-11 Славич  Оксана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oksalavych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@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.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ФПЛ-12 Богоніс Юлія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rudkevicnatalia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bookmarkStart w:id="2" w:name="__DdeLink__259_2214569115"/>
            <w:r>
              <w:rPr>
                <w:rFonts w:ascii="Times New Roman" w:hAnsi="Times New Roman"/>
                <w:lang w:val="en-US"/>
              </w:rPr>
              <w:t>@gmail.com</w:t>
            </w:r>
            <w:bookmarkEnd w:id="2"/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Тема 9.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Мислення і мовлення як складові інтелекту. Психологічні особливості формування мовлення. “Дитина вчиться рідної мови ще до народження’’. Причини загального недорозвинення мовлення у дітей з нормальним слухом та зором як самостійне порушення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4" w:type="dxa"/>
            <w:gridSpan w:val="2"/>
            <w:tcBorders/>
            <w:shd w:fill="auto" w:val="clear"/>
          </w:tcPr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lang w:val="uk-UA"/>
              </w:rPr>
              <w:t>1. Перегляд наукових кіно стрічок щодо м</w:t>
            </w:r>
            <w:r>
              <w:rPr>
                <w:rFonts w:cs="Times New Roman"/>
                <w:color w:val="000000"/>
                <w:sz w:val="22"/>
                <w:szCs w:val="22"/>
                <w:lang w:val="uk-UA"/>
              </w:rPr>
              <w:t>ислення і мовлення як складові інтелекту.</w:t>
            </w:r>
          </w:p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  <w:t>2.Добір методичних рекомендацій щодо роботи із даною проблемою.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ФПЛ-11 Славич  Оксана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oksalavych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@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.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ФПЛ-12 Богоніс Юлія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rudkevicnatalia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@gmail.com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Тема 10.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Характеристика мовних порушень у клініко-педагогічній класифікації.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11.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Афатичні та неафатичні розлади мовлення. Двомовність як профілактика афазій та старечого недоумства – деменції.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Тема12.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Особливості порушень мовлення і сенсорних систем при епілепсії у дітей – аура, абсанс, депресія, синдром гіперактивності з дефіцитом уваги; назвіть можливі методи корекції.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Тема 13.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Значення церебральних розладів у структурі мовленнєвих і сенсорних порушень при неврологічних захворюваннях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Тема 14.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Особливості порушень мовлення і сенсорних систем при мігрені у дітей.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Тема 15.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bookmarkStart w:id="3" w:name="__DdeLink__282_1272045277"/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Принципи корекції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мовленнєвих порушень при аутизмі.</w:t>
            </w:r>
            <w:bookmarkEnd w:id="3"/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404" w:type="dxa"/>
            <w:gridSpan w:val="2"/>
            <w:tcBorders/>
            <w:shd w:fill="auto" w:val="clear"/>
          </w:tcPr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lang w:val="uk-UA"/>
              </w:rPr>
              <w:t xml:space="preserve">1. </w:t>
            </w: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lang w:val="uk-UA"/>
              </w:rPr>
              <w:t>Назвати порушення усного мовлення та порушення писемного мовлення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  <w:t>2.Добір методичних рекомендацій щодо роботи із даними порушеннями.</w:t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lang w:val="uk-UA"/>
              </w:rPr>
              <w:t>1.</w:t>
            </w: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lang w:val="uk-UA"/>
              </w:rPr>
              <w:t xml:space="preserve">Назвати афатичні та неафатичні розлади мовлення. </w:t>
            </w:r>
          </w:p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  <w:t>2.Добір методичних рекомендацій щодо роботи із даними порушеннями.</w:t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lang w:val="uk-UA"/>
              </w:rPr>
              <w:t>1.</w:t>
            </w: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lang w:val="uk-UA"/>
              </w:rPr>
              <w:t xml:space="preserve">Назвати особливості порушень мовлення і сенсорних систем при епілепсії у дітей. </w:t>
            </w:r>
          </w:p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  <w:t>2.Добір методичних рекомендацій щодо роботи із даними порушеннями.</w:t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lang w:val="uk-UA"/>
              </w:rPr>
              <w:t>1.Назвати з</w:t>
            </w: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lang w:val="uk-UA"/>
              </w:rPr>
              <w:t>начення церебральних розладів у структурі мовленнєвих і сенсорних порушень при неврологічних захворюваннях.</w:t>
            </w:r>
          </w:p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  <w:t>2.Добір методичних рекомендацій щодо роботи із даними порушеннями.</w:t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lang w:val="uk-UA"/>
              </w:rPr>
              <w:t>1.Назвати з</w:t>
            </w: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lang w:val="uk-UA"/>
              </w:rPr>
              <w:t>начення порушень мовлення і сенсорних систем при мігрені у дітей.</w:t>
            </w:r>
          </w:p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  <w:t>2.Добір методичних рекомендацій щодо роботи із даними порушеннями.</w:t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2"/>
                <w:lang w:val="uk-UA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</w:r>
          </w:p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lang w:val="uk-UA"/>
              </w:rPr>
              <w:t>1.</w:t>
            </w: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lang w:val="uk-UA"/>
              </w:rPr>
              <w:t>Принципи корекції</w:t>
            </w:r>
            <w:r>
              <w:rPr>
                <w:rFonts w:cs="Times New Roman"/>
                <w:b/>
                <w:bCs w:val="false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lang w:val="uk-UA"/>
              </w:rPr>
              <w:t>мовленнєвих порушень при аутизмі.</w:t>
            </w:r>
          </w:p>
          <w:p>
            <w:pPr>
              <w:pStyle w:val="1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  <w:t>2.Добір методичних рекомендацій щодо роботи із даними порушеннями.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ФПЛ-11 Славич  Оксана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oksalavych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@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.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ФПЛ-12 Богоніс Юлія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ФПЛ-11 Славич  Оксана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oksalavych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@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.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ФПЛ-12 Богоніс Юлія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ФПЛ-11 Славич  Оксана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oksalavych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@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.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ФПЛ-12 Богоніс Юлія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ФПЛ-11 Славич  Оксана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oksalavych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@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.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ФПЛ-12 Богоніс Юлія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ФПЛ-11 Славич  Оксана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oksalavych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@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.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ФПЛ-12 Богоніс Юлія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ФПЛ-11 Славич  Оксана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oksalavych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@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ru-RU"/>
                </w:rPr>
                <w:t>.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  <w:lang w:val="en-US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ФПЛ-12 Богоніс Юлія 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rudkevicnatalia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rudkevicnatalia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rudkevicnatalia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rudkevicnatalia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rudkevicnatalia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rudkevicnatalia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qFormat/>
    <w:rPr>
      <w:color w:val="000080"/>
      <w:u w:val="single"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4" w:customStyle="1">
    <w:name w:val="ListLabel 4"/>
    <w:qFormat/>
    <w:rPr>
      <w:rFonts w:ascii="Liberation Serif" w:hAnsi="Liberation Serif"/>
      <w:color w:val="000000"/>
      <w:lang w:val="uk-UA"/>
    </w:rPr>
  </w:style>
  <w:style w:type="character" w:styleId="ListLabel5" w:customStyle="1">
    <w:name w:val="ListLabel 5"/>
    <w:qFormat/>
    <w:rPr>
      <w:rFonts w:ascii="Liberation Serif" w:hAnsi="Liberation Serif"/>
      <w:sz w:val="20"/>
      <w:szCs w:val="20"/>
    </w:rPr>
  </w:style>
  <w:style w:type="character" w:styleId="ListLabel6" w:customStyle="1">
    <w:name w:val="ListLabel 6"/>
    <w:qFormat/>
    <w:rPr>
      <w:rFonts w:ascii="Liberation Serif" w:hAnsi="Liberation Serif"/>
      <w:sz w:val="20"/>
      <w:szCs w:val="20"/>
      <w:lang w:val="en-US"/>
    </w:rPr>
  </w:style>
  <w:style w:type="character" w:styleId="ListLabel7">
    <w:name w:val="ListLabel 7"/>
    <w:qFormat/>
    <w:rPr>
      <w:rFonts w:ascii="Liberation Serif" w:hAnsi="Liberation Serif"/>
      <w:sz w:val="20"/>
      <w:szCs w:val="20"/>
      <w:lang w:val="en-US"/>
    </w:rPr>
  </w:style>
  <w:style w:type="character" w:styleId="ListLabel8">
    <w:name w:val="ListLabel 8"/>
    <w:qFormat/>
    <w:rPr>
      <w:rFonts w:ascii="Liberation Serif" w:hAnsi="Liberation Serif"/>
      <w:sz w:val="20"/>
      <w:szCs w:val="20"/>
      <w:lang w:val="ru-RU"/>
    </w:rPr>
  </w:style>
  <w:style w:type="character" w:styleId="ListLabel9">
    <w:name w:val="ListLabel 9"/>
    <w:qFormat/>
    <w:rPr>
      <w:rFonts w:ascii="Liberation Serif" w:hAnsi="Liberation Serif"/>
      <w:sz w:val="20"/>
      <w:szCs w:val="20"/>
      <w:lang w:val="en-US"/>
    </w:rPr>
  </w:style>
  <w:style w:type="character" w:styleId="ListLabel10">
    <w:name w:val="ListLabel 10"/>
    <w:qFormat/>
    <w:rPr>
      <w:rFonts w:ascii="Liberation Serif" w:hAnsi="Liberation Serif"/>
      <w:sz w:val="20"/>
      <w:szCs w:val="20"/>
      <w:lang w:val="ru-RU"/>
    </w:rPr>
  </w:style>
  <w:style w:type="character" w:styleId="ListLabel11">
    <w:name w:val="ListLabel 11"/>
    <w:qFormat/>
    <w:rPr>
      <w:rFonts w:ascii="Liberation Serif" w:hAnsi="Liberation Serif"/>
      <w:sz w:val="20"/>
      <w:szCs w:val="20"/>
      <w:lang w:val="en-US"/>
    </w:rPr>
  </w:style>
  <w:style w:type="character" w:styleId="ListLabel12">
    <w:name w:val="ListLabel 12"/>
    <w:qFormat/>
    <w:rPr>
      <w:rFonts w:ascii="Liberation Serif" w:hAnsi="Liberation Serif"/>
      <w:sz w:val="20"/>
      <w:szCs w:val="20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" w:customStyle="1">
    <w:name w:val="Звичайний1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2"/>
      <w:szCs w:val="20"/>
      <w:lang w:val="ru-RU" w:eastAsia="ru-RU" w:bidi="hi-IN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1366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ksalavych@gmail.com" TargetMode="External"/><Relationship Id="rId3" Type="http://schemas.openxmlformats.org/officeDocument/2006/relationships/hyperlink" Target="mailto:oksalavych@gmail.com" TargetMode="External"/><Relationship Id="rId4" Type="http://schemas.openxmlformats.org/officeDocument/2006/relationships/hyperlink" Target="mailto:oksalavych@gmail.com" TargetMode="External"/><Relationship Id="rId5" Type="http://schemas.openxmlformats.org/officeDocument/2006/relationships/hyperlink" Target="mailto:oksalavych@gmail.com" TargetMode="External"/><Relationship Id="rId6" Type="http://schemas.openxmlformats.org/officeDocument/2006/relationships/hyperlink" Target="mailto:oksalavych@gmail.com" TargetMode="External"/><Relationship Id="rId7" Type="http://schemas.openxmlformats.org/officeDocument/2006/relationships/hyperlink" Target="mailto:oksalavych@gmail.com" TargetMode="External"/><Relationship Id="rId8" Type="http://schemas.openxmlformats.org/officeDocument/2006/relationships/hyperlink" Target="mailto:oksalavych@gmail.com" TargetMode="External"/><Relationship Id="rId9" Type="http://schemas.openxmlformats.org/officeDocument/2006/relationships/hyperlink" Target="mailto:oksalavych@gmail.com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LibreOffice/6.1.3.2$Windows_X86_64 LibreOffice_project/86daf60bf00efa86ad547e59e09d6bb77c699acb</Application>
  <Pages>3</Pages>
  <Words>517</Words>
  <Characters>3746</Characters>
  <CharactersWithSpaces>4431</CharactersWithSpaces>
  <Paragraphs>101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2020-03-12T12:35:00Z</dcterms:created>
  <dc:creator>User</dc:creator>
  <dc:description/>
  <dc:language>uk-UA</dc:language>
  <cp:lastModifiedBy/>
  <cp:lastPrinted>2020-03-12T13:20:00Z</cp:lastPrinted>
  <dcterms:modified xsi:type="dcterms:W3CDTF">2020-04-03T20:28:54Z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