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ПРАКТИЧНО-СЕМІНАРСЬКЕ ЗАНЯТТЯ № </w:t>
      </w:r>
      <w:r>
        <w:rPr>
          <w:b/>
          <w:color w:val="000000"/>
          <w:sz w:val="28"/>
        </w:rPr>
        <w:t>8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color w:val="000000"/>
          <w:sz w:val="28"/>
          <w:szCs w:val="28"/>
          <w:u w:val="single"/>
        </w:rPr>
        <w:t>Готовність дитини до навчання в школі</w:t>
      </w:r>
    </w:p>
    <w:p>
      <w:pPr>
        <w:pStyle w:val="11"/>
        <w:spacing w:lineRule="auto" w:line="360"/>
        <w:ind w:start="0" w:end="0" w:firstLine="709"/>
        <w:jc w:val="center"/>
        <w:rPr/>
      </w:pPr>
      <w:r>
        <w:rPr/>
      </w:r>
    </w:p>
    <w:p>
      <w:pPr>
        <w:pStyle w:val="11"/>
        <w:spacing w:lineRule="auto" w:line="360"/>
        <w:ind w:start="0" w:end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Питання, винесені для опрацювання на семінарське заняття</w:t>
      </w:r>
    </w:p>
    <w:p>
      <w:pPr>
        <w:pStyle w:val="11"/>
        <w:spacing w:lineRule="auto" w:line="360"/>
        <w:ind w:start="0" w:end="0" w:firstLine="709"/>
        <w:jc w:val="both"/>
        <w:rPr/>
      </w:pPr>
      <w:r>
        <w:rPr>
          <w:color w:val="000000"/>
          <w:sz w:val="28"/>
          <w:lang w:val="uk-UA"/>
        </w:rPr>
        <w:t xml:space="preserve">1. Аналіз суті понять </w:t>
      </w:r>
      <w:r>
        <w:rPr>
          <w:i/>
          <w:iCs/>
          <w:color w:val="000000"/>
          <w:sz w:val="28"/>
          <w:lang w:val="uk-UA"/>
        </w:rPr>
        <w:t>готовність до шкільного навчання</w:t>
      </w:r>
      <w:r>
        <w:rPr>
          <w:color w:val="000000"/>
          <w:sz w:val="28"/>
          <w:lang w:val="uk-UA"/>
        </w:rPr>
        <w:t xml:space="preserve"> і </w:t>
      </w:r>
      <w:r>
        <w:rPr>
          <w:i/>
          <w:iCs/>
          <w:color w:val="000000"/>
          <w:sz w:val="28"/>
          <w:lang w:val="uk-UA"/>
        </w:rPr>
        <w:t>підготовка дитини до школи</w:t>
      </w:r>
      <w:r>
        <w:rPr>
          <w:color w:val="000000"/>
          <w:sz w:val="28"/>
          <w:lang w:val="uk-UA"/>
        </w:rPr>
        <w:t xml:space="preserve">. 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 Фізична готовність до навчання в школі.</w:t>
      </w:r>
    </w:p>
    <w:p>
      <w:pPr>
        <w:pStyle w:val="11"/>
        <w:spacing w:lineRule="auto" w:line="360"/>
        <w:ind w:start="0" w:end="0" w:firstLine="709"/>
        <w:jc w:val="both"/>
        <w:rPr/>
      </w:pPr>
      <w:r>
        <w:rPr>
          <w:color w:val="000000"/>
          <w:sz w:val="28"/>
          <w:lang w:val="uk-UA"/>
        </w:rPr>
        <w:t xml:space="preserve">3. </w:t>
      </w:r>
      <w:r>
        <w:rPr>
          <w:color w:val="000000"/>
          <w:sz w:val="28"/>
          <w:szCs w:val="28"/>
          <w:lang w:val="uk-UA" w:eastAsia="en-US"/>
        </w:rPr>
        <w:t>Особистісна готовність до навчання в школі</w:t>
      </w:r>
      <w:r>
        <w:rPr>
          <w:color w:val="000000"/>
          <w:sz w:val="28"/>
          <w:lang w:val="uk-UA"/>
        </w:rPr>
        <w:t>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4. Інтелектуальна готовність до навчання в школі.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5. Соціально-психологічна готовність до навчання в школі.</w:t>
      </w:r>
    </w:p>
    <w:p>
      <w:pPr>
        <w:pStyle w:val="11"/>
        <w:spacing w:lineRule="auto" w:line="360"/>
        <w:ind w:start="0" w:end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1"/>
        <w:spacing w:lineRule="auto" w:line="360"/>
        <w:ind w:start="0" w:end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Методичні рекомендації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розкриття питан</w:t>
      </w:r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, винесених на обговорення, потрібно опрацювати джерела наукової, педагогічної та психологічної літератури, у яких репрезентовано дані наукових розвідок, погляди відомих педагогів, науковців, методики визначення готовності </w:t>
      </w:r>
      <w:r>
        <w:rPr>
          <w:color w:val="000000"/>
          <w:sz w:val="28"/>
          <w:szCs w:val="28"/>
          <w:lang w:val="uk-UA"/>
        </w:rPr>
        <w:t xml:space="preserve">дитини </w:t>
      </w:r>
      <w:r>
        <w:rPr>
          <w:color w:val="000000"/>
          <w:sz w:val="28"/>
          <w:szCs w:val="28"/>
          <w:lang w:val="uk-UA"/>
        </w:rPr>
        <w:t>до навчання в школі.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Ключові поняття: готовність до навчання; фактори, які позитивно і негативно сприяють готовності до навчання, процес підготовки дитини до школи (вказати з якого віку, місце підготовки, вимоги до організації процесу), наступність між дошкільною і початковою ланками освіти (у державних документах).</w:t>
      </w:r>
    </w:p>
    <w:p>
      <w:pPr>
        <w:pStyle w:val="11"/>
        <w:spacing w:lineRule="auto" w:line="360"/>
        <w:ind w:start="0" w:end="0" w:firstLine="709"/>
        <w:jc w:val="both"/>
        <w:rPr/>
      </w:pPr>
      <w:r>
        <w:rPr>
          <w:color w:val="000000"/>
          <w:sz w:val="28"/>
          <w:szCs w:val="28"/>
          <w:lang w:val="uk-UA"/>
        </w:rPr>
        <w:t>2. Ключові поняття: суть фізичної готовності, з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агальний стан здоров’я, (ріст, м’язовий тонус, зір, слух),   дрібна моторика руки, графічні вміння, зорово-рухова та зорово-моторна координація, методики визначення фізичної готовності до навчання в школі.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Ключові поняття: суть особистісної готовності, мотиваційний аспект, позитивне ставлення до навчання, бажання вчитися, причини зниження інтересу до навчання.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Ключові поняття: суть інтелектуальної готовності, функціонування мозку (механізми набування знань), мовлення і мислення дошкільника як склад</w:t>
      </w:r>
      <w:r>
        <w:rPr>
          <w:color w:val="000000"/>
          <w:sz w:val="28"/>
          <w:szCs w:val="28"/>
          <w:lang w:val="uk-UA"/>
        </w:rPr>
        <w:t>ник</w:t>
      </w:r>
      <w:r>
        <w:rPr>
          <w:color w:val="000000"/>
          <w:sz w:val="28"/>
          <w:szCs w:val="28"/>
          <w:lang w:val="uk-UA"/>
        </w:rPr>
        <w:t xml:space="preserve"> інтелектуальної готовності, розвиток психічних процесів на розвиток інтелекту.</w:t>
      </w:r>
    </w:p>
    <w:p>
      <w:pPr>
        <w:pStyle w:val="11"/>
        <w:spacing w:lineRule="auto" w:line="360"/>
        <w:ind w:start="0" w:end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Ключові поняття: суть соціально-психологічної готовності, емоційно-вольова сфера, розвиток довільної регуляції діяльності, тривожність і емоційна стійкість, процес соціалізації дошкільника до нових умов.</w:t>
      </w:r>
    </w:p>
    <w:p>
      <w:pPr>
        <w:pStyle w:val="11"/>
        <w:spacing w:lineRule="auto" w:line="360"/>
        <w:ind w:start="0" w:end="0" w:hanging="0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1"/>
        <w:tabs>
          <w:tab w:val="left" w:pos="360" w:leader="none"/>
          <w:tab w:val="left" w:pos="720" w:leader="none"/>
          <w:tab w:val="left" w:pos="1276" w:leader="none"/>
        </w:tabs>
        <w:spacing w:lineRule="auto" w:line="360"/>
        <w:ind w:start="0" w:end="0" w:firstLine="709"/>
        <w:jc w:val="both"/>
        <w:rPr/>
      </w:pPr>
      <w:r>
        <w:rPr>
          <w:b/>
          <w:i/>
          <w:color w:val="000000"/>
          <w:sz w:val="28"/>
          <w:szCs w:val="28"/>
          <w:lang w:val="uk-UA" w:eastAsia="en-US"/>
        </w:rPr>
        <w:t xml:space="preserve">Література: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1429" w:end="0" w:hanging="0"/>
        <w:jc w:val="both"/>
        <w:rPr>
          <w:rStyle w:val="1"/>
          <w:rFonts w:ascii="Liberation Serif;Times New Roman" w:hAnsi="Liberation Serif;Times New Roman" w:cs="Liberation Serif;Times New Roman"/>
          <w:i w:val="false"/>
          <w:i w:val="false"/>
          <w:iCs w:val="false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Style15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Діагностика готовності дітей до школи / [упоряд.: О. Дєдов]. – Хотин, 2014. – 194 с.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>Завтра в школу / За заг. ред В.К. Котирло. – К.: «Радянська школа». – 1997. – 128 с.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Коровіна О. Адаптація до навчального процесу учнів 6–річного віку / О. Коровіна // Початкова школа. – 2013. – № 8. – С. 46–47.</w:t>
      </w:r>
    </w:p>
    <w:p>
      <w:pPr>
        <w:pStyle w:val="Normal"/>
        <w:numPr>
          <w:ilvl w:val="0"/>
          <w:numId w:val="1"/>
        </w:numPr>
        <w:spacing w:lineRule="auto" w:line="24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Кохан О.Ю. Готовність дітей дошкільного віку до навчання в школі / О.Кохан // Таврійський вісник освіти. – 2010. – № 3 (31). – С. 122–129.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>Мартиненко С. Аналіз типових труднощів у процесі адаптації дітей до навчання в школі / С. Мартиненко // Початкова школа. – 2016. – № 10. – С. 40–42.</w:t>
      </w:r>
    </w:p>
    <w:p>
      <w:pPr>
        <w:pStyle w:val="Style21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>Мартиненко С. Методи комплексного педагогічного діагностування адаптації дитини до умов навчального середовища / С. Мартиненко // Початкова школа. – 2016. – № 9. – С. 49–51.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>Нагорна С.В., Храпова І.В. Методика визначення готовності дитини до школи: метод. посіб. – К.: Редакції загальнопедагогічних газет, 2013. –118 с.: іл., табл.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start="0" w:end="0" w:firstLine="567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eastAsia="en-US"/>
        </w:rPr>
        <w:t xml:space="preserve">Ростикус Н. Мовленнєво-комунікативна готовність дітей до навчання української (рідної) мови в початковій школі / Н. Ростикус // Гірська школа Українських Карпат. - 2016. - №15. - С. 198-202. </w:t>
      </w: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- Режим доступу: </w:t>
      </w:r>
      <w:hyperlink r:id="rId2">
        <w:r>
          <w:rPr>
            <w:rStyle w:val="Style14"/>
            <w:rFonts w:cs="Liberation Serif;Times New Roman" w:ascii="Liberation Serif;Times New Roman" w:hAnsi="Liberation Serif;Times New Roman"/>
            <w:i w:val="false"/>
            <w:iCs w:val="false"/>
            <w:color w:val="000000"/>
            <w:sz w:val="28"/>
            <w:szCs w:val="28"/>
            <w:u w:val="none"/>
            <w:lang w:eastAsia="en-US"/>
          </w:rPr>
          <w:t>http://nbuv.gov.ua/UJRN/gsuk_2016_15_50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start="1429" w:end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1429" w:end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1429" w:hanging="360"/>
      </w:pPr>
      <w:rPr>
        <w:sz w:val="28"/>
        <w:i w:val="false"/>
        <w:b w:val="false"/>
        <w:szCs w:val="28"/>
        <w:iCs w:val="false"/>
        <w:bCs w:val="false"/>
        <w:rFonts w:ascii="Liberation Serif;Times New Roman" w:hAnsi="Liberation Serif;Times New Roman" w:cs="Liberation Serif;Times New Roman"/>
        <w:lang w:val="uk-UA" w:eastAsia="en-US"/>
      </w:rPr>
    </w:lvl>
    <w:lvl w:ilvl="1">
      <w:start w:val="1"/>
      <w:numFmt w:val="lowerLetter"/>
      <w:lvlText w:val="%2."/>
      <w:lvlJc w:val="start"/>
      <w:pPr>
        <w:ind w:start="2149" w:hanging="360"/>
      </w:pPr>
      <w:rPr/>
    </w:lvl>
    <w:lvl w:ilvl="2">
      <w:start w:val="1"/>
      <w:numFmt w:val="lowerRoman"/>
      <w:lvlText w:val="%3."/>
      <w:lvlJc w:val="end"/>
      <w:pPr>
        <w:ind w:start="2869" w:hanging="180"/>
      </w:pPr>
      <w:rPr/>
    </w:lvl>
    <w:lvl w:ilvl="3">
      <w:start w:val="1"/>
      <w:numFmt w:val="decimal"/>
      <w:lvlText w:val="%4."/>
      <w:lvlJc w:val="start"/>
      <w:pPr>
        <w:ind w:start="3589" w:hanging="360"/>
      </w:pPr>
      <w:rPr/>
    </w:lvl>
    <w:lvl w:ilvl="4">
      <w:start w:val="1"/>
      <w:numFmt w:val="lowerLetter"/>
      <w:lvlText w:val="%5."/>
      <w:lvlJc w:val="start"/>
      <w:pPr>
        <w:ind w:start="4309" w:hanging="360"/>
      </w:pPr>
      <w:rPr/>
    </w:lvl>
    <w:lvl w:ilvl="5">
      <w:start w:val="1"/>
      <w:numFmt w:val="lowerRoman"/>
      <w:lvlText w:val="%6."/>
      <w:lvlJc w:val="end"/>
      <w:pPr>
        <w:ind w:start="5029" w:hanging="180"/>
      </w:pPr>
      <w:rPr/>
    </w:lvl>
    <w:lvl w:ilvl="6">
      <w:start w:val="1"/>
      <w:numFmt w:val="decimal"/>
      <w:lvlText w:val="%7."/>
      <w:lvlJc w:val="start"/>
      <w:pPr>
        <w:ind w:start="5749" w:hanging="360"/>
      </w:pPr>
      <w:rPr/>
    </w:lvl>
    <w:lvl w:ilvl="7">
      <w:start w:val="1"/>
      <w:numFmt w:val="lowerLetter"/>
      <w:lvlText w:val="%8."/>
      <w:lvlJc w:val="start"/>
      <w:pPr>
        <w:ind w:start="6469" w:hanging="360"/>
      </w:pPr>
      <w:rPr/>
    </w:lvl>
    <w:lvl w:ilvl="8">
      <w:start w:val="1"/>
      <w:numFmt w:val="lowerRoman"/>
      <w:lvlText w:val="%9."/>
      <w:lvlJc w:val="end"/>
      <w:pPr>
        <w:ind w:start="718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1">
    <w:name w:val="Цитата1"/>
    <w:qFormat/>
    <w:rPr>
      <w:i/>
      <w:iCs/>
    </w:rPr>
  </w:style>
  <w:style w:type="character" w:styleId="WW">
    <w:name w:val="WW-Виділення жирним"/>
    <w:qFormat/>
    <w:rPr>
      <w:b/>
      <w:bCs/>
    </w:rPr>
  </w:style>
  <w:style w:type="character" w:styleId="Style15">
    <w:name w:val="Цитата"/>
    <w:qFormat/>
    <w:rPr>
      <w:i/>
      <w:iCs/>
    </w:rPr>
  </w:style>
  <w:style w:type="character" w:styleId="WW1">
    <w:name w:val="WW-Гіперпосилання"/>
    <w:qFormat/>
    <w:rPr>
      <w:color w:val="000080"/>
      <w:u w:val="single"/>
      <w:lang w:val="zxx" w:eastAsia="zxx" w:bidi="zxx"/>
    </w:rPr>
  </w:style>
  <w:style w:type="character" w:styleId="Quotation">
    <w:name w:val="Quotation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1">
    <w:name w:val="Звичайний1"/>
    <w:qFormat/>
    <w:pPr>
      <w:widowControl w:val="false"/>
      <w:suppressAutoHyphens w:val="tru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start="720" w:end="0" w:hanging="0"/>
      <w:contextualSpacing/>
    </w:pPr>
    <w:rPr/>
  </w:style>
  <w:style w:type="paragraph" w:styleId="Style21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gsuk_2016_15_5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2</Pages>
  <Words>414</Words>
  <Characters>2630</Characters>
  <CharactersWithSpaces>3036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2020-11-03T23:49:35Z</dcterms:created>
  <dc:creator/>
  <dc:description/>
  <dc:language>uk-UA</dc:language>
  <cp:lastModifiedBy/>
  <dcterms:modified xsi:type="dcterms:W3CDTF">2020-11-04T00:04:32Z</dcterms:modified>
  <cp:revision>3</cp:revision>
  <dc:subject/>
  <dc:title/>
</cp:coreProperties>
</file>