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7" w:rsidRDefault="00345212" w:rsidP="00C43C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</w:t>
      </w:r>
      <w:r w:rsidR="00C43C77">
        <w:rPr>
          <w:rFonts w:ascii="Times New Roman" w:hAnsi="Times New Roman"/>
          <w:b/>
          <w:sz w:val="28"/>
          <w:szCs w:val="28"/>
        </w:rPr>
        <w:t xml:space="preserve">. Складені задачі на  </w:t>
      </w:r>
      <w:r w:rsidR="00730BAF">
        <w:rPr>
          <w:rFonts w:ascii="Times New Roman" w:hAnsi="Times New Roman"/>
          <w:b/>
          <w:sz w:val="28"/>
          <w:szCs w:val="28"/>
        </w:rPr>
        <w:t>пропорційне ділення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C43C77" w:rsidRDefault="00345212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</w:t>
      </w:r>
      <w:r w:rsidR="00C43C77">
        <w:rPr>
          <w:rFonts w:ascii="Times New Roman" w:hAnsi="Times New Roman"/>
          <w:b/>
          <w:sz w:val="28"/>
          <w:szCs w:val="28"/>
        </w:rPr>
        <w:t>авчальна</w:t>
      </w:r>
      <w:r w:rsidR="00C43C77">
        <w:rPr>
          <w:rFonts w:ascii="Times New Roman" w:hAnsi="Times New Roman"/>
          <w:sz w:val="28"/>
          <w:szCs w:val="28"/>
        </w:rPr>
        <w:t xml:space="preserve">: навчити студентів розв’язувати складені </w:t>
      </w:r>
      <w:r w:rsidR="00C43C77" w:rsidRPr="00381538">
        <w:rPr>
          <w:rFonts w:ascii="Times New Roman" w:hAnsi="Times New Roman"/>
          <w:sz w:val="28"/>
          <w:szCs w:val="28"/>
        </w:rPr>
        <w:t xml:space="preserve">задачі </w:t>
      </w:r>
      <w:r w:rsidR="00C43C77" w:rsidRPr="00C43C77">
        <w:rPr>
          <w:rFonts w:ascii="Times New Roman" w:hAnsi="Times New Roman"/>
          <w:sz w:val="28"/>
          <w:szCs w:val="28"/>
        </w:rPr>
        <w:t xml:space="preserve">на  </w:t>
      </w:r>
      <w:r w:rsidR="00730BAF">
        <w:rPr>
          <w:rFonts w:ascii="Times New Roman" w:hAnsi="Times New Roman"/>
          <w:sz w:val="28"/>
          <w:szCs w:val="28"/>
        </w:rPr>
        <w:t>пропорційне ділення</w:t>
      </w:r>
      <w:r w:rsidR="00A52F43">
        <w:rPr>
          <w:rFonts w:ascii="Times New Roman" w:hAnsi="Times New Roman"/>
          <w:sz w:val="28"/>
          <w:szCs w:val="28"/>
        </w:rPr>
        <w:t xml:space="preserve">. </w:t>
      </w:r>
      <w:r w:rsidR="00C43C77">
        <w:rPr>
          <w:rFonts w:ascii="Times New Roman" w:hAnsi="Times New Roman"/>
          <w:sz w:val="28"/>
          <w:szCs w:val="28"/>
        </w:rPr>
        <w:t>Сформувати уміння по</w:t>
      </w:r>
      <w:r w:rsidR="00A52F43">
        <w:rPr>
          <w:rFonts w:ascii="Times New Roman" w:hAnsi="Times New Roman"/>
          <w:sz w:val="28"/>
          <w:szCs w:val="28"/>
        </w:rPr>
        <w:t>яснювати даний вид задачі дітям</w:t>
      </w:r>
      <w:r w:rsidR="00C43C77">
        <w:rPr>
          <w:rFonts w:ascii="Times New Roman" w:hAnsi="Times New Roman"/>
          <w:sz w:val="28"/>
          <w:szCs w:val="28"/>
        </w:rPr>
        <w:t>, записувати короткий запис до задач різними способами, пояснювати хід арифметичних дій, план розв’язку задач для учнів початкових класів.</w:t>
      </w:r>
    </w:p>
    <w:p w:rsidR="00C43C77" w:rsidRDefault="00345212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</w:t>
      </w:r>
      <w:r w:rsidR="00C43C77">
        <w:rPr>
          <w:rFonts w:ascii="Times New Roman" w:hAnsi="Times New Roman"/>
          <w:b/>
          <w:sz w:val="28"/>
          <w:szCs w:val="28"/>
        </w:rPr>
        <w:t>озвивальна</w:t>
      </w:r>
      <w:r w:rsidR="00C43C77"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C43C77" w:rsidRDefault="00345212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</w:t>
      </w:r>
      <w:bookmarkStart w:id="0" w:name="_GoBack"/>
      <w:bookmarkEnd w:id="0"/>
      <w:r w:rsidR="00C43C77">
        <w:rPr>
          <w:rFonts w:ascii="Times New Roman" w:hAnsi="Times New Roman"/>
          <w:b/>
          <w:sz w:val="28"/>
          <w:szCs w:val="28"/>
        </w:rPr>
        <w:t>иховна</w:t>
      </w:r>
      <w:r w:rsidR="00C43C77">
        <w:rPr>
          <w:rFonts w:ascii="Times New Roman" w:hAnsi="Times New Roman"/>
          <w:sz w:val="28"/>
          <w:szCs w:val="28"/>
        </w:rPr>
        <w:t>: прищеплювати любов до математики.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формування у студентів вмінь проводити аналіз </w:t>
      </w:r>
      <w:r w:rsidRPr="00381538">
        <w:rPr>
          <w:rFonts w:ascii="Times New Roman" w:hAnsi="Times New Roman"/>
          <w:sz w:val="28"/>
          <w:szCs w:val="28"/>
        </w:rPr>
        <w:t xml:space="preserve">задачі </w:t>
      </w:r>
      <w:r w:rsidRPr="00C43C77">
        <w:rPr>
          <w:rFonts w:ascii="Times New Roman" w:hAnsi="Times New Roman"/>
          <w:sz w:val="28"/>
          <w:szCs w:val="28"/>
        </w:rPr>
        <w:t xml:space="preserve">на  </w:t>
      </w:r>
      <w:r w:rsidR="00730BAF">
        <w:rPr>
          <w:rFonts w:ascii="Times New Roman" w:hAnsi="Times New Roman"/>
          <w:sz w:val="28"/>
          <w:szCs w:val="28"/>
        </w:rPr>
        <w:t>пропорційне ділення</w:t>
      </w:r>
      <w:r>
        <w:rPr>
          <w:rFonts w:ascii="Times New Roman" w:hAnsi="Times New Roman"/>
          <w:sz w:val="28"/>
          <w:szCs w:val="28"/>
        </w:rPr>
        <w:t>. Уміння записувати короткий запис задачі: словесним, табличним</w:t>
      </w:r>
      <w:r w:rsidR="00157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задачі. Складання алгоритму розв’язування задач 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43C77" w:rsidRPr="00C43C77" w:rsidRDefault="00730BAF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Розв’язування задач на спільну роботу</w:t>
      </w:r>
      <w:r w:rsidR="00C43C77" w:rsidRPr="00C43C77">
        <w:rPr>
          <w:rFonts w:ascii="Times New Roman" w:hAnsi="Times New Roman"/>
          <w:sz w:val="28"/>
          <w:szCs w:val="28"/>
        </w:rPr>
        <w:t>.(</w:t>
      </w:r>
      <w:proofErr w:type="spellStart"/>
      <w:r w:rsidR="00C43C77" w:rsidRPr="00C43C77">
        <w:rPr>
          <w:rFonts w:ascii="Times New Roman" w:hAnsi="Times New Roman"/>
          <w:sz w:val="28"/>
          <w:szCs w:val="28"/>
        </w:rPr>
        <w:t>с.р</w:t>
      </w:r>
      <w:proofErr w:type="spellEnd"/>
      <w:r w:rsidR="00C43C77" w:rsidRPr="00C43C77">
        <w:rPr>
          <w:rFonts w:ascii="Times New Roman" w:hAnsi="Times New Roman"/>
          <w:sz w:val="28"/>
          <w:szCs w:val="28"/>
        </w:rPr>
        <w:t>.)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>Ознайомлення з методикою роботи над</w:t>
      </w:r>
      <w:r>
        <w:t xml:space="preserve"> </w:t>
      </w:r>
      <w:r w:rsidR="00730BAF">
        <w:rPr>
          <w:rFonts w:ascii="Times New Roman" w:hAnsi="Times New Roman"/>
          <w:sz w:val="28"/>
          <w:szCs w:val="28"/>
        </w:rPr>
        <w:t>задачею на пропорційне ділення</w:t>
      </w:r>
      <w:r w:rsidR="00A52F43">
        <w:rPr>
          <w:rFonts w:ascii="Times New Roman" w:hAnsi="Times New Roman"/>
          <w:sz w:val="28"/>
          <w:szCs w:val="28"/>
        </w:rPr>
        <w:t>.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>Розв’язування задач</w:t>
      </w:r>
      <w:r w:rsidR="00A52F43">
        <w:rPr>
          <w:rFonts w:ascii="Times New Roman" w:hAnsi="Times New Roman"/>
          <w:sz w:val="28"/>
          <w:szCs w:val="28"/>
        </w:rPr>
        <w:t xml:space="preserve"> нового виду</w:t>
      </w:r>
      <w:r w:rsidRPr="00C43C77">
        <w:rPr>
          <w:rFonts w:ascii="Times New Roman" w:hAnsi="Times New Roman"/>
          <w:sz w:val="28"/>
          <w:szCs w:val="28"/>
        </w:rPr>
        <w:t>,  робота біля дошки.</w:t>
      </w:r>
    </w:p>
    <w:p w:rsid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 xml:space="preserve">Складання </w:t>
      </w:r>
      <w:r w:rsidR="00730BAF">
        <w:rPr>
          <w:rFonts w:ascii="Times New Roman" w:hAnsi="Times New Roman"/>
          <w:sz w:val="28"/>
          <w:szCs w:val="28"/>
        </w:rPr>
        <w:t>складених задач даного виду</w:t>
      </w:r>
      <w:r w:rsidR="00A52F43">
        <w:rPr>
          <w:rFonts w:ascii="Times New Roman" w:hAnsi="Times New Roman"/>
          <w:sz w:val="28"/>
          <w:szCs w:val="28"/>
        </w:rPr>
        <w:t xml:space="preserve"> </w:t>
      </w:r>
      <w:r w:rsidRPr="00C43C77">
        <w:rPr>
          <w:rFonts w:ascii="Times New Roman" w:hAnsi="Times New Roman"/>
          <w:sz w:val="28"/>
          <w:szCs w:val="28"/>
        </w:rPr>
        <w:t>.</w:t>
      </w:r>
    </w:p>
    <w:p w:rsidR="00A52F43" w:rsidRPr="00C43C77" w:rsidRDefault="00730BAF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в групах</w:t>
      </w:r>
      <w:r w:rsidR="00A52F43">
        <w:rPr>
          <w:rFonts w:ascii="Times New Roman" w:hAnsi="Times New Roman"/>
          <w:sz w:val="28"/>
          <w:szCs w:val="28"/>
        </w:rPr>
        <w:t xml:space="preserve"> на закріплення задач нового виду.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>Пре</w:t>
      </w:r>
      <w:r w:rsidR="00A52F43">
        <w:rPr>
          <w:rFonts w:ascii="Times New Roman" w:hAnsi="Times New Roman"/>
          <w:sz w:val="28"/>
          <w:szCs w:val="28"/>
        </w:rPr>
        <w:t>зентація та аналіз фрагментів</w:t>
      </w:r>
      <w:r w:rsidRPr="00C43C77">
        <w:rPr>
          <w:rFonts w:ascii="Times New Roman" w:hAnsi="Times New Roman"/>
          <w:sz w:val="28"/>
          <w:szCs w:val="28"/>
        </w:rPr>
        <w:t xml:space="preserve">. </w:t>
      </w: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F43" w:rsidRDefault="00A52F43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F43" w:rsidRDefault="00A52F43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Література: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кл.-</w:t>
      </w:r>
      <w:proofErr w:type="spellEnd"/>
      <w:r>
        <w:rPr>
          <w:rStyle w:val="412pt"/>
          <w:sz w:val="28"/>
        </w:rPr>
        <w:t xml:space="preserve"> К.: Освіта, 2003. – 160 с.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М.В.Богданович,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М.В.Богданович,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Будна</w:t>
      </w:r>
      <w:proofErr w:type="spellEnd"/>
      <w:r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>
        <w:rPr>
          <w:sz w:val="28"/>
        </w:rPr>
        <w:t xml:space="preserve">Збірник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C43C77" w:rsidRDefault="00C43C77" w:rsidP="00C43C77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C43C77" w:rsidRDefault="00C43C77" w:rsidP="00C43C77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proofErr w:type="spellStart"/>
      <w:r>
        <w:rPr>
          <w:rStyle w:val="412pt"/>
          <w:rFonts w:eastAsia="Calibri"/>
          <w:sz w:val="28"/>
        </w:rPr>
        <w:t>Корчевська</w:t>
      </w:r>
      <w:proofErr w:type="spellEnd"/>
      <w:r>
        <w:rPr>
          <w:rStyle w:val="412pt"/>
          <w:rFonts w:eastAsia="Calibri"/>
          <w:sz w:val="28"/>
        </w:rPr>
        <w:t xml:space="preserve"> О.П. Навчаємо математики : методика роботи над задачам. / О.</w:t>
      </w:r>
      <w:proofErr w:type="spellStart"/>
      <w:r>
        <w:rPr>
          <w:rStyle w:val="412pt"/>
          <w:rFonts w:eastAsia="Calibri"/>
          <w:sz w:val="28"/>
        </w:rPr>
        <w:t>Корчевська</w:t>
      </w:r>
      <w:proofErr w:type="spellEnd"/>
      <w:r>
        <w:rPr>
          <w:rStyle w:val="412pt"/>
          <w:rFonts w:eastAsia="Calibri"/>
          <w:sz w:val="28"/>
        </w:rPr>
        <w:t>. — Тернопіль. Мандрівець, 2012.- 160с.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</w:t>
      </w:r>
      <w:proofErr w:type="spellStart"/>
      <w:r>
        <w:rPr>
          <w:rStyle w:val="412pt"/>
          <w:sz w:val="28"/>
        </w:rPr>
        <w:t>Романишин</w:t>
      </w:r>
      <w:proofErr w:type="spellEnd"/>
      <w:r>
        <w:rPr>
          <w:rStyle w:val="412pt"/>
          <w:sz w:val="28"/>
        </w:rPr>
        <w:t xml:space="preserve"> І.Я. Математика. Методика роботи над текстовими задачами. 4 клас. – Тернопіль: Навчальна книга – Богдан, 2003. – 184 с. 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</w:pPr>
      <w:r>
        <w:rPr>
          <w:rStyle w:val="412pt"/>
          <w:sz w:val="28"/>
        </w:rPr>
        <w:t xml:space="preserve">Король Я.А., </w:t>
      </w:r>
      <w:proofErr w:type="spellStart"/>
      <w:r>
        <w:rPr>
          <w:rStyle w:val="412pt"/>
          <w:sz w:val="28"/>
        </w:rPr>
        <w:t>Романишин</w:t>
      </w:r>
      <w:proofErr w:type="spellEnd"/>
      <w:r>
        <w:rPr>
          <w:rStyle w:val="412pt"/>
          <w:sz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>
        <w:rPr>
          <w:rStyle w:val="412pt"/>
          <w:sz w:val="28"/>
        </w:rPr>
        <w:t>Астон</w:t>
      </w:r>
      <w:proofErr w:type="spellEnd"/>
      <w:r>
        <w:rPr>
          <w:rStyle w:val="412pt"/>
          <w:sz w:val="28"/>
        </w:rPr>
        <w:t xml:space="preserve">, 2003. – 240 с. 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proofErr w:type="spellStart"/>
      <w:r>
        <w:rPr>
          <w:rStyle w:val="412pt"/>
          <w:sz w:val="28"/>
        </w:rPr>
        <w:t>Романишин</w:t>
      </w:r>
      <w:proofErr w:type="spellEnd"/>
      <w:r>
        <w:rPr>
          <w:rStyle w:val="412pt"/>
          <w:sz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</w:pP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 С.І. Збірник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С.О.</w:t>
      </w: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: Монографія. Одеса: </w:t>
      </w:r>
      <w:proofErr w:type="spellStart"/>
      <w:r>
        <w:rPr>
          <w:rStyle w:val="412pt"/>
          <w:sz w:val="28"/>
        </w:rPr>
        <w:t>Астропринт</w:t>
      </w:r>
      <w:proofErr w:type="spellEnd"/>
      <w:r>
        <w:rPr>
          <w:rStyle w:val="412pt"/>
          <w:sz w:val="28"/>
        </w:rPr>
        <w:t>, 2006.</w:t>
      </w:r>
    </w:p>
    <w:p w:rsidR="00C43C77" w:rsidRDefault="00C43C77" w:rsidP="00C43C77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задачі./С.О.</w:t>
      </w: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>. - Одеса: ООО «</w:t>
      </w:r>
      <w:proofErr w:type="spellStart"/>
      <w:r>
        <w:rPr>
          <w:rStyle w:val="412pt"/>
          <w:sz w:val="28"/>
        </w:rPr>
        <w:t>Абрикос-Компані</w:t>
      </w:r>
      <w:proofErr w:type="spellEnd"/>
      <w:r>
        <w:rPr>
          <w:rStyle w:val="412pt"/>
          <w:sz w:val="28"/>
        </w:rPr>
        <w:t>», 2011. - 268 с.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B6925" w:rsidRDefault="009B6925"/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CFB"/>
    <w:multiLevelType w:val="hybridMultilevel"/>
    <w:tmpl w:val="45B0D4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71D89"/>
    <w:multiLevelType w:val="hybridMultilevel"/>
    <w:tmpl w:val="C5AC0606"/>
    <w:lvl w:ilvl="0" w:tplc="634CC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7"/>
    <w:rsid w:val="00157B03"/>
    <w:rsid w:val="00345212"/>
    <w:rsid w:val="00730BAF"/>
    <w:rsid w:val="009B6925"/>
    <w:rsid w:val="00A52F43"/>
    <w:rsid w:val="00C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77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43C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C77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C43C77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77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43C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C77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C43C77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2015-12-01T22:09:00Z</dcterms:created>
  <dcterms:modified xsi:type="dcterms:W3CDTF">2021-02-14T14:41:00Z</dcterms:modified>
</cp:coreProperties>
</file>