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Тематика курсових робіт 2022-2023 н.р.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Спеціальність 231 Соціальна робота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Освітньо-професійна програма “Соціальна педагогіка”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Денна форма навчання ФПС-31з</w:t>
      </w: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775"/>
        <w:gridCol w:w="3540"/>
        <w:gridCol w:w="2505"/>
        <w:tblGridChange w:id="0">
          <w:tblGrid>
            <w:gridCol w:w="690"/>
            <w:gridCol w:w="2775"/>
            <w:gridCol w:w="3540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п\п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здобувача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Тематика курсової роботи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ПІБ наукового керівника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Возна Ірина Іванівна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Соціальна підтримка сімей внутрішньо переміщених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Костів Марія Іванівна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Специфіка роботи соціального педагога в загальноосвітній школі з інклюзивною формою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Колтуцька Юлія Богданівна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Соціалізація дітей у сім'ях різного типу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Лобода В.В.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Олійник Маргарита Сергіївна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Корнят В.С.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Пастух Анастасія Петрівна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Робота соціального педагога з подолання конфліктів учнів середньої  школи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Труш</w:t>
              <w:tab/>
              <w:t xml:space="preserve">Світлана Андріївна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Субашкевич І.Р.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