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Львівський національний університет імені Івана Франка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Факультет педагогічної освіти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Кафедра початкової та дошкільної освіти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before="0" w:after="0"/>
        <w:ind w:left="5245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____ від __________ 2020 р.)</w:t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 xml:space="preserve">Силабус з навчальної дисципліни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«Інноваційні технології підготовки педагогічних кадрів для системи педагогічної освіти»,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>що викладається для здобувачів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ascii="Times New Roman" w:hAnsi="Times New Roman"/>
          <w:b/>
          <w:sz w:val="32"/>
          <w:szCs w:val="32"/>
        </w:rPr>
        <w:t xml:space="preserve">другого (магістерського) рівня вищої освіти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спеціальності 012 Дошкільна освіта 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</w:rPr>
        <w:t xml:space="preserve">Львів — 2020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tbl>
      <w:tblPr>
        <w:tblW w:w="1031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43"/>
        <w:gridCol w:w="7570"/>
      </w:tblGrid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Інноваційні технології підготовки педагогічних кадрів для системи педагогічної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вул. Туган-Барановського, 7, м. Львів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Факультет педагогічної освіти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 Освіта / Педагогіка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 Дошкільна освіта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Ростикус Надія Петрівна, кандидат педагогічних наук, асистент кафедри початкової та дошкільної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4"/>
                  <w:rFonts w:eastAsia="Times New Roman" w:ascii="Times New Roman" w:hAnsi="Times New Roman"/>
                  <w:sz w:val="24"/>
                  <w:szCs w:val="24"/>
                </w:rPr>
                <w:t>nadiya.rostykus@lnu.edu.ua</w:t>
              </w:r>
            </w:hyperlink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щопонеділка, 15:00-16:00 год. (вул. Туган-Барановського, 7, м. Львів, ауд. 38)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Також передбачено он-лайн консультації. Для погодження часу он-лайн консультацій слід писати на електронну пошту викладача.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4"/>
                  <w:rFonts w:eastAsia="Times New Roman" w:ascii="Times New Roman" w:hAnsi="Times New Roman"/>
                  <w:sz w:val="24"/>
                  <w:szCs w:val="24"/>
                </w:rPr>
                <w:t>https://pedagogy.lnu.edu.ua/course/vstup-do-spetsialnosti-z-osnovamy-pedahohiky</w:t>
              </w:r>
            </w:hyperlink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Зміст навчальної дисципліни побудовано таким чином, щоб  здобувачі вищої освіти оволодівали знання, уміннями і навичками, необхідними для самоорганізації у процесі навчання, розвивати критичний аналіз у роботі з основними джерелами здобуття навчальної інформації.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Дисципліна «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Інноваційні технології пвдготовки педагогічних кадрів для системи педагогічної освіти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» є нормативною дисципліною для здобувачів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другого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магісте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рського) рівня вищої освіти спеціальності 01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Дошкільна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освіта, яка викладається в І семестрі в обсязі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Метою викладання навчальної дисципліни є: ознайомлення студентів з </w:t>
            </w: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інноваційними технологіями підготовки педагогічних кадрів у ЗВО</w:t>
            </w: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,  формування умінь вчитися </w:t>
            </w: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протягом життя</w:t>
            </w: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 потягу до самоосвіти і самовиховання, опанування студентами педагогічних знань й успішним застосуванням їх на практиці, особистісного відповідального ставлення до педагогічної діяльності, основними компетентностями в</w:t>
            </w: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икладача</w:t>
            </w: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 особливостями професійно-педагогічної комунікації.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Style w:val="Style14"/>
                <w:rFonts w:eastAsia="Times New Roman" w:ascii="Times New Roman" w:hAnsi="Times New Roman"/>
                <w:color w:val="000000"/>
                <w:sz w:val="24"/>
                <w:szCs w:val="24"/>
                <w:u w:val="none"/>
                <w:lang w:eastAsia="uk-UA"/>
              </w:rPr>
              <w:t>Основна література: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1. </w:t>
            </w: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2. </w:t>
            </w: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u w:val="none"/>
                <w:lang w:val="uk-UA" w:eastAsia="en-US"/>
              </w:rPr>
              <w:t xml:space="preserve">3.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u w:val="none"/>
                <w:lang w:val="uk-UA" w:eastAsia="en-US"/>
              </w:rPr>
              <w:t xml:space="preserve">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32 години аудиторних занять. З них 16 години лекцій, 16 години семінарських занять та  58 годин самостійної роботи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обізнаний зі суттю іннноваційних педагогічних технологій;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ознайомлений з критеріями й основними показниками інноваційних технологій;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володіти навичками застосування інноваційних технологій в організації освітнього процесу у ЗВО;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уміти критично аналізувати ефективність застосованих інноваційних технологій.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Інновація, інноваційні технології освіти й в освіті,науковий підхід, дослідження.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Очний</w:t>
            </w:r>
            <w:r>
              <w:rPr>
                <w:rFonts w:eastAsia="Times New Roman" w:ascii="Times New Roman" w:hAnsi="Times New Roman"/>
                <w:i w:val="false"/>
                <w:iCs w:val="false"/>
                <w:sz w:val="24"/>
                <w:szCs w:val="24"/>
              </w:rPr>
              <w:t>/заочний/дистанційний/змішаний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Проведення лекцій, практично-семінарських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Представлено у схемі*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залік після завершення вивчення навчальної дисципліни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Вивчення навчальної дисципліни ґрунтується на загальних компетентностях, сформованих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на першому (бакалаврському) освітньому рівні, н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еобхідних для осмислення значущих питань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інноваційних педагогічних технологій у процесі підготивки педагогічних кадрів для системи педагогічної освіти.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семінарські/самостійні: 100% семестрової оцінки; максимальна кількість балів 100 (практично-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семінарські заняття передбачають виконання системи завдань, адекватність та повнота розв’язання яких оцінюються максимально 10-ма балами. Кількість балів, що виставляється за семінарське заняття, враховує: відповіді студентів на проблемні питання за змістом теми; обговорення запитань для роздумів, дискусій, уміння використовувати знання під час розв’язання педагогічних задач;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залік (підсумкові бали за семестр) –  максимальна кількість балів 100.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Підсумкова максимальна кількість балів 100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їхніми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недоброчесності. Виявлення ознак академічної недоброчесності в письмовій роботі здобувача є підставою для її незарахування викладачем, незалежно від масштабів плагіату чи обману.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Відвідування занять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є обов’язковим складником навчання.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lang w:val="uk-UA"/>
              </w:rPr>
              <w:t>Дисципліна завершується заліком, який виставляється у формі підсумку балів, набраних протягом семестру.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  <w:t>Схема навчальної дисципліни*</w:t>
      </w:r>
    </w:p>
    <w:tbl>
      <w:tblPr>
        <w:tblW w:w="108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3"/>
        <w:gridCol w:w="1810"/>
        <w:gridCol w:w="2103"/>
        <w:gridCol w:w="2893"/>
        <w:gridCol w:w="2335"/>
        <w:gridCol w:w="1144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Тема, план, короткі тези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Література.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Термін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виконання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/>
            </w:pPr>
            <w:bookmarkStart w:id="0" w:name="__DdeLink__5486_1859328397111"/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>ЗМ 1.</w:t>
            </w:r>
            <w:bookmarkEnd w:id="0"/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 Інноваційні технології у процесі підготовки педагогічних кадрів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1. Інноваційні технологій професійного розвитку педагогів в умовах реформування освіти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Наукова підготовка педагогічних працівників.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Реформування освіти.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1.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>Основні характеристики технологій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навчання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Style w:val="Style14"/>
                <w:color w:val="000000"/>
                <w:u w:val="none"/>
              </w:rPr>
            </w:pPr>
            <w:r>
              <w:rPr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</w:t>
            </w:r>
            <w:r>
              <w:rPr>
                <w:rFonts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1. Аналіз понять </w:t>
            </w: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>інновація, технологія, інноваційна технологія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(з галузі педагогіки).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2. 2. Розкриття суті основних характеристик технологій навчання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eastAsia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u w:val="none"/>
                <w:lang w:val="uk-UA"/>
              </w:rPr>
            </w:pPr>
            <w:r>
              <w:rPr>
                <w:rFonts w:eastAsia="Times New Roman"/>
                <w:b w:val="false"/>
                <w:bCs w:val="false"/>
                <w:i w:val="false"/>
                <w:iCs w:val="false"/>
                <w:color w:val="000000"/>
                <w:u w:val="none"/>
                <w:lang w:val="uk-UA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2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семестру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>Тема 2.</w:t>
            </w:r>
            <w:r>
              <w:rPr>
                <w:rStyle w:val="Strong"/>
                <w:rFonts w:ascii="Liberation Serif" w:hAnsi="Liberation Serif"/>
                <w:b w:val="false"/>
                <w:sz w:val="20"/>
                <w:szCs w:val="20"/>
                <w:lang w:val="uk-UA"/>
              </w:rPr>
              <w:t xml:space="preserve"> Готовність педагога до інноваційної діяльності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2.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1. Поняття готовності педагога до інноваційної діяльності.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2. Критерії готовності педагога до інноваційної діяльності, їхні характеристики.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2.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bookmarkStart w:id="1" w:name="__DdeLink__6430_1317543593"/>
            <w:r>
              <w:rPr>
                <w:rFonts w:ascii="Liberation Serif" w:hAnsi="Liberation Serif"/>
                <w:sz w:val="20"/>
                <w:szCs w:val="20"/>
              </w:rPr>
              <w:t xml:space="preserve">Готовність педагога до інноваційної діяльності </w:t>
            </w:r>
            <w:bookmarkEnd w:id="1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Дичківська  І.М.  Готовність до інноваційної діяльності у структурі професійно-особистісної підготовки педагога.  [Електронний ресурс]. — Режим доступу:  </w:t>
            </w:r>
            <w:hyperlink r:id="rId4">
              <w:r>
                <w:rPr>
                  <w:rStyle w:val="Style14"/>
                  <w:rFonts w:ascii="Liberation Serif" w:hAnsi="Liberation Serif"/>
                  <w:sz w:val="20"/>
                  <w:szCs w:val="20"/>
                </w:rPr>
                <w:t>https://scienceandeducation.pdpu.edu.ua/doc/2011/5_2011/4.pdf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Коваленко  О.В. Формування готовності до інноваційної професійної діяльності майбутніх педагогів дошкільних закладів.  [Електронний ресурс]. — Режим доступу:  </w:t>
            </w:r>
            <w:hyperlink r:id="rId5">
              <w:r>
                <w:rPr>
                  <w:rStyle w:val="Style14"/>
                  <w:rFonts w:ascii="Liberation Serif" w:hAnsi="Liberation Serif"/>
                  <w:sz w:val="20"/>
                  <w:szCs w:val="20"/>
                </w:rPr>
                <w:t>https://scienceandeducation.pdpu.edu.ua/doc/2010/7_2010/32.pdf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Хаустова О.В. Формування готовності педагога до інноваційної діяльності як педагогічна проблема.  [Електронний ресурс]. — Режим доступу:  </w:t>
            </w:r>
            <w:hyperlink r:id="rId6">
              <w:r>
                <w:rPr>
                  <w:rStyle w:val="Style14"/>
                  <w:rFonts w:ascii="Liberation Serif" w:hAnsi="Liberation Serif"/>
                  <w:sz w:val="20"/>
                  <w:szCs w:val="20"/>
                </w:rPr>
                <w:t>https://virtkafedra.ucoz.ua/el_gurnal/pages/vyp2/upravlenie/haustova.pdf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Березюк В.  Інноваційні технології в ДНЗ / Березюк В. С., Ру-дік О. А.— Х. : Вид. група «Основа», 2017. — С. 5-29. — (Се-рія «ДНЗ. Керівнику»). .  [Електронний ресурс]. — Режим доступу:  </w:t>
            </w:r>
            <w:hyperlink r:id="rId7">
              <w:r>
                <w:rPr>
                  <w:rStyle w:val="Style14"/>
                  <w:rFonts w:ascii="Liberation Serif" w:hAnsi="Liberation Serif"/>
                  <w:sz w:val="20"/>
                  <w:szCs w:val="20"/>
                </w:rPr>
                <w:t>http://osnova.com.ua/preview/book/6139/%D0%A1%D1%82%D1%80%D0%B0%D0%BD%D0%B8%D1%86%D1%8B%20%D0%B8%D0%B7%20DNK009_blok.pdf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Чайка В.М.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Проблеми змісту підготовки майбутніх вихователів дошкільних навчальних закладів до інноваційної педагогічної діяльності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/ В. М. Чайка // </w:t>
            </w:r>
            <w:hyperlink r:id="rId8">
              <w:r>
                <w:rPr>
                  <w:rStyle w:val="Style14"/>
                  <w:rFonts w:ascii="Liberation Serif" w:hAnsi="Liberation Serif"/>
                  <w:sz w:val="20"/>
                  <w:szCs w:val="20"/>
                </w:rPr>
                <w:t>Наукові записки Тернопільського національного педагогічного університету імені Володимира Гнатюка. Серія : Педагогіка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. - 2012. - № 2. - С. 33-39. - Режим доступу: </w:t>
            </w:r>
            <w:hyperlink r:id="rId9">
              <w:r>
                <w:rPr>
                  <w:rStyle w:val="Style14"/>
                  <w:rFonts w:ascii="Liberation Serif" w:hAnsi="Liberation Serif"/>
                  <w:sz w:val="20"/>
                  <w:szCs w:val="20"/>
                </w:rPr>
                <w:t>http://nbuv.gov.ua/UJRN/</w:t>
              </w:r>
              <w:r>
                <w:rPr>
                  <w:rStyle w:val="Style14"/>
                  <w:rFonts w:ascii="Liberation Serif" w:hAnsi="Liberation Serif"/>
                  <w:color w:val="8B4513"/>
                  <w:sz w:val="20"/>
                  <w:szCs w:val="20"/>
                </w:rPr>
                <w:t>NZTNPU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</w:rPr>
                <w:t>_</w:t>
              </w:r>
              <w:r>
                <w:rPr>
                  <w:rStyle w:val="Style14"/>
                  <w:rFonts w:ascii="Liberation Serif" w:hAnsi="Liberation Serif"/>
                  <w:color w:val="8B4513"/>
                  <w:sz w:val="20"/>
                  <w:szCs w:val="20"/>
                </w:rPr>
                <w:t>ped</w:t>
              </w:r>
              <w:r>
                <w:rPr>
                  <w:rStyle w:val="Style14"/>
                  <w:rFonts w:ascii="Liberation Serif" w:hAnsi="Liberation Serif"/>
                  <w:sz w:val="20"/>
                  <w:szCs w:val="20"/>
                </w:rPr>
                <w:t>_2012_2_8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0"/>
                <w:szCs w:val="20"/>
                <w:u w:val="none"/>
                <w:lang w:val="uk-UA" w:eastAsia="en-US"/>
              </w:rPr>
              <w:t>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– С. 14-47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1. Орацювання теоретичного матеріалу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2. Резюме аналізованих статей.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Liberation Serif;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eastAsia="Times New Roman" w:cs="Liberation Serif;Times New Roman"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4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sz w:val="20"/>
                <w:szCs w:val="20"/>
                <w:lang w:val="uk-UA"/>
              </w:rPr>
              <w:t xml:space="preserve">Тема 3. </w:t>
            </w:r>
            <w:r>
              <w:rPr>
                <w:rStyle w:val="Strong"/>
                <w:rFonts w:ascii="Liberation Serif" w:hAnsi="Liberation Serif"/>
                <w:b w:val="false"/>
                <w:sz w:val="20"/>
                <w:szCs w:val="20"/>
                <w:lang w:val="uk-UA"/>
              </w:rPr>
              <w:t>Дослідницька обізнаність як шлях систематичного поглиблення професіоналізму в системі освіти.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3.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Викладання, навчання, освіта.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Навчання протягом життя.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3. Коректність і некоректність розуміння фактів.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Style23"/>
              <w:spacing w:lineRule="auto" w:line="240" w:before="0" w:after="0"/>
              <w:ind w:hanging="0"/>
              <w:jc w:val="left"/>
              <w:rPr>
                <w:rFonts w:ascii="Liberation Serif" w:hAnsi="Liberation Serif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Семінарське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СЗ 3.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Межа між фактом і міфом.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  <w:t>1. Способи визначеня ступенів достовірності інформації.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  <w:t xml:space="preserve">2. </w:t>
            </w:r>
            <w:r>
              <w:rPr>
                <w:rStyle w:val="Strong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Віртуальна і реальна соціальні взаємодії в освіті.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6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 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Тема 4. 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Готовність студентів до професійної діяльності у ЗДО.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1. Особистісна готовність майбутнього вихователя.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2. Професійна готовність майбутнього вихователя.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3 Здатність до користування інноваційними технологічними продуктами.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ПЗ 4.  </w:t>
            </w:r>
            <w:r>
              <w:rPr>
                <w:rStyle w:val="Strong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Готовність студентів до професійної діяльності у ЗДО.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Зворотній зв’язок у професійній діяльності.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2. Взаємне навчання колег.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3. Множинний інтелект.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8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left"/>
              <w:rPr/>
            </w:pP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Тема 5. 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Дослідницькі технології.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 Педагогічне дослідження.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Педагогічний консерватизм.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Педагогічний прогресивізм.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3. 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Викладання й навчання заради спільних прагнень.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ПЗ.5.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Технології проблемного навчання.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0"/>
                <w:szCs w:val="20"/>
                <w:u w:val="none"/>
                <w:lang w:val="uk-UA" w:eastAsia="en-US"/>
              </w:rPr>
              <w:t xml:space="preserve">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Технології проблемного навчання.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/>
                <w:b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/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10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 xml:space="preserve">Тема 6. </w:t>
            </w: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 xml:space="preserve">Технології ситуаційного навчання </w:t>
            </w: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>у ЗВО</w:t>
            </w: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6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1. Мета і завдання технологій ситуаційного навчання.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2. Можливості технологій ситуаційного навчання.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3. Види технологій ситуаційного навчання.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4. Педагогічні умови впровадження технологій ситуаційного навчання у ЗВО.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ПЗ.6.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 Технології особистісно орієнтованого навчання.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0"/>
                <w:szCs w:val="20"/>
                <w:u w:val="none"/>
                <w:lang w:val="uk-UA" w:eastAsia="en-US"/>
              </w:rPr>
              <w:t xml:space="preserve">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1. Технології особистісно орієнтованого навчання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у ЗВО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2. Технології коментованого навчання у ЗВО.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12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b w:val="false"/>
                <w:b w:val="false"/>
                <w:bCs w:val="false"/>
                <w:i/>
                <w:i/>
                <w:iCs/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Тема 7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ехнології розвивального навчання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у ЗВО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7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1. Мета і завдання технологій розвивально навчання.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2. Можливості технологій розвивального навчання.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3. Види технологій розвивального навчання.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4. Педагогічні умови впровадження технологій розвивального навчання у ЗВО.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 7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Технології ділової гри 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у ЗВО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0"/>
                <w:szCs w:val="20"/>
                <w:u w:val="none"/>
                <w:lang w:val="uk-UA" w:eastAsia="en-US"/>
              </w:rPr>
              <w:t xml:space="preserve">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/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1. Технології ділової гри 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у ЗВО.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14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8.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Технологія інтерактивного навчання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у ЗВО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0"/>
                <w:szCs w:val="20"/>
              </w:rPr>
              <w:t>Лекція 8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1. Мета і завдання технологій інтерактивного навчання.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2. Можливості технологій інтерактивного навчання.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3. Види технологій інтерактивного навчання.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4. Педагогічні умови впровадження технологій інтерактивного навчання у ЗВО.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cs="Liberation Serif;Times New Roman"/>
                <w:b w:val="false"/>
                <w:b w:val="false"/>
                <w:bCs w:val="false"/>
                <w:iCs/>
                <w:color w:val="000000"/>
                <w:u w:val="none"/>
                <w:lang w:val="uk-UA" w:eastAsia="en-US"/>
              </w:rPr>
            </w:pPr>
            <w:r>
              <w:rPr>
                <w:rFonts w:cs="Liberation Serif;Times New Roman"/>
                <w:b w:val="false"/>
                <w:bCs w:val="false"/>
                <w:iCs/>
                <w:color w:val="000000"/>
                <w:u w:val="none"/>
                <w:lang w:val="uk-UA" w:eastAsia="en-US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Практичне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 заняття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П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З 8.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Кейс-технології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у ЗВО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Пасі Салберґ.  Фінські уроки 2.0: Чого може навчитися світ з освітніх змін у Фінляндії / </w:t>
            </w:r>
            <w:bookmarkStart w:id="2" w:name="__DdeLink__33301_1779717717"/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0"/>
                <w:szCs w:val="20"/>
                <w:u w:val="none"/>
                <w:lang w:val="uk-UA" w:eastAsia="en-US"/>
              </w:rPr>
              <w:t xml:space="preserve">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</w:t>
            </w:r>
            <w:bookmarkEnd w:id="2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1. Кейс-технології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у ЗВО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16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67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sid w:val="001c4670"/>
    <w:rPr>
      <w:rFonts w:cs="Times New Roman"/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uiPriority w:val="99"/>
    <w:qFormat/>
    <w:rsid w:val="001c4670"/>
    <w:rPr>
      <w:rFonts w:eastAsia="Calibri"/>
      <w:lang w:eastAsia="ru-RU"/>
    </w:rPr>
  </w:style>
  <w:style w:type="character" w:styleId="3" w:customStyle="1">
    <w:name w:val="Основной текст (3)_"/>
    <w:link w:val="30"/>
    <w:qFormat/>
    <w:locked/>
    <w:rsid w:val="001c4670"/>
    <w:rPr>
      <w:spacing w:val="2"/>
      <w:sz w:val="25"/>
      <w:szCs w:val="25"/>
      <w:shd w:fill="FFFFFF" w:val="clear"/>
    </w:rPr>
  </w:style>
  <w:style w:type="character" w:styleId="Strong">
    <w:name w:val="Strong"/>
    <w:basedOn w:val="DefaultParagraphFont"/>
    <w:uiPriority w:val="22"/>
    <w:qFormat/>
    <w:rsid w:val="001c4670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/>
      <w:sz w:val="20"/>
      <w:szCs w:val="20"/>
    </w:rPr>
  </w:style>
  <w:style w:type="character" w:styleId="Style16">
    <w:name w:val="Виділення жирним"/>
    <w:qFormat/>
    <w:rPr>
      <w:b/>
      <w:bCs/>
    </w:rPr>
  </w:style>
  <w:style w:type="character" w:styleId="WW8Num1z0">
    <w:name w:val="WW8Num1z0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7">
    <w:name w:val="Цитата"/>
    <w:qFormat/>
    <w:rPr>
      <w:i/>
      <w:iCs/>
    </w:rPr>
  </w:style>
  <w:style w:type="character" w:styleId="WW">
    <w:name w:val="WW-Гіперпосилання"/>
    <w:qFormat/>
    <w:rPr>
      <w:color w:val="000080"/>
      <w:u w:val="single"/>
      <w:lang w:val="zxx" w:eastAsia="zxx" w:bidi="zxx"/>
    </w:rPr>
  </w:style>
  <w:style w:type="character" w:styleId="WW1">
    <w:name w:val="WW-Виділення жирним"/>
    <w:qFormat/>
    <w:rPr>
      <w:b/>
      <w:bCs/>
    </w:rPr>
  </w:style>
  <w:style w:type="character" w:styleId="WW8Num3z0">
    <w:name w:val="WW8Num3z0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6">
    <w:name w:val="ListLabel 6"/>
    <w:qFormat/>
    <w:rPr>
      <w:rFonts w:ascii="Liberation Serif" w:hAnsi="Liberation Serif" w:cs="Times New Roman"/>
      <w:b w:val="false"/>
      <w:sz w:val="24"/>
      <w:szCs w:val="24"/>
    </w:rPr>
  </w:style>
  <w:style w:type="character" w:styleId="ListLabel7">
    <w:name w:val="ListLabel 7"/>
    <w:qFormat/>
    <w:rPr>
      <w:rFonts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ListLabel8">
    <w:name w:val="ListLabel 8"/>
    <w:qFormat/>
    <w:rPr>
      <w:rFonts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ListLabel9">
    <w:name w:val="ListLabel 9"/>
    <w:qFormat/>
    <w:rPr>
      <w:rFonts w:ascii="Times New Roman" w:hAnsi="Times New Roman" w:eastAsia="Times New Roman"/>
      <w:sz w:val="24"/>
      <w:szCs w:val="24"/>
    </w:rPr>
  </w:style>
  <w:style w:type="character" w:styleId="ListLabel10">
    <w:name w:val="ListLabel 10"/>
    <w:qFormat/>
    <w:rPr>
      <w:rFonts w:ascii="Liberation Serif" w:hAnsi="Liberation Serif" w:cs="Liberation Serif;Times New Roman"/>
      <w:sz w:val="24"/>
      <w:szCs w:val="24"/>
    </w:rPr>
  </w:style>
  <w:style w:type="character" w:styleId="ListLabel11">
    <w:name w:val="ListLabel 11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4"/>
      <w:szCs w:val="24"/>
      <w:lang w:eastAsia="en-US"/>
    </w:rPr>
  </w:style>
  <w:style w:type="character" w:styleId="ListLabel12">
    <w:name w:val="ListLabel 12"/>
    <w:qFormat/>
    <w:rPr>
      <w:rFonts w:ascii="Liberation Serif" w:hAnsi="Liberation Serif" w:cs="Liberation Serif;Times New Roman"/>
      <w:color w:val="000000"/>
      <w:sz w:val="20"/>
      <w:szCs w:val="20"/>
      <w:lang w:eastAsia="en-US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color w:val="000000"/>
      <w:sz w:val="20"/>
      <w:szCs w:val="20"/>
      <w:lang w:val="uk-UA" w:eastAsia="en-US"/>
    </w:rPr>
  </w:style>
  <w:style w:type="character" w:styleId="ListLabel14">
    <w:name w:val="ListLabel 14"/>
    <w:qFormat/>
    <w:rPr>
      <w:rFonts w:ascii="Liberation Serif" w:hAnsi="Liberation Serif" w:cs="Liberation Serif;Times New Roman"/>
      <w:sz w:val="20"/>
      <w:szCs w:val="20"/>
    </w:rPr>
  </w:style>
  <w:style w:type="character" w:styleId="ListLabel15">
    <w:name w:val="ListLabel 15"/>
    <w:qFormat/>
    <w:rPr>
      <w:rFonts w:ascii="Liberation Serif" w:hAnsi="Liberation Serif" w:eastAsia="Times New Roman" w:cs="Liberation Serif;Times New Roman"/>
      <w:spacing w:val="-4"/>
      <w:sz w:val="20"/>
      <w:szCs w:val="20"/>
    </w:rPr>
  </w:style>
  <w:style w:type="character" w:styleId="ListLabel16">
    <w:name w:val="ListLabel 16"/>
    <w:qFormat/>
    <w:rPr>
      <w:rFonts w:ascii="Liberation Serif" w:hAnsi="Liberation Serif" w:eastAsia="Times New Roman" w:cs="Liberation Serif;Times New Roman"/>
      <w:sz w:val="20"/>
      <w:szCs w:val="20"/>
    </w:rPr>
  </w:style>
  <w:style w:type="character" w:styleId="ListLabel17">
    <w:name w:val="ListLabel 17"/>
    <w:qFormat/>
    <w:rPr>
      <w:rFonts w:ascii="Liberation Serif" w:hAnsi="Liberation Serif" w:eastAsia="Times New Roman" w:cs="Liberation Serif;Times New Roman"/>
      <w:color w:val="000000"/>
      <w:sz w:val="20"/>
      <w:szCs w:val="20"/>
    </w:rPr>
  </w:style>
  <w:style w:type="character" w:styleId="ListLabel18">
    <w:name w:val="ListLabel 18"/>
    <w:qFormat/>
    <w:rPr>
      <w:rFonts w:ascii="Liberation Serif" w:hAnsi="Liberation Serif" w:eastAsia="Times New Roman" w:cs="Liberation Serif;Times New Roman"/>
      <w:i/>
      <w:iCs/>
      <w:color w:val="000000"/>
      <w:sz w:val="20"/>
      <w:szCs w:val="20"/>
      <w:lang w:eastAsia="en-US"/>
    </w:rPr>
  </w:style>
  <w:style w:type="character" w:styleId="ListLabel19">
    <w:name w:val="ListLabel 19"/>
    <w:qFormat/>
    <w:rPr>
      <w:rFonts w:ascii="Liberation Serif" w:hAnsi="Liberation Serif" w:eastAsia="Times New Roman" w:cs="Liberation Serif;Times New Roman"/>
      <w:iCs/>
      <w:color w:val="000000"/>
      <w:spacing w:val="-4"/>
      <w:sz w:val="20"/>
      <w:szCs w:val="20"/>
      <w:u w:val="none"/>
      <w:lang w:eastAsia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sz w:val="20"/>
      <w:szCs w:val="20"/>
    </w:rPr>
  </w:style>
  <w:style w:type="character" w:styleId="ListLabel21">
    <w:name w:val="ListLabel 21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0"/>
      <w:szCs w:val="20"/>
      <w:lang w:eastAsia="en-US"/>
    </w:rPr>
  </w:style>
  <w:style w:type="character" w:styleId="ListLabel22">
    <w:name w:val="ListLabel 22"/>
    <w:qFormat/>
    <w:rPr>
      <w:rFonts w:ascii="Liberation Serif" w:hAnsi="Liberation Serif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24">
    <w:name w:val="ListLabel 24"/>
    <w:qFormat/>
    <w:rPr>
      <w:rFonts w:ascii="Liberation Serif" w:hAnsi="Liberation Serif" w:cs="Times New Roman"/>
      <w:b w:val="false"/>
      <w:sz w:val="24"/>
      <w:szCs w:val="24"/>
    </w:rPr>
  </w:style>
  <w:style w:type="character" w:styleId="ListLabel25">
    <w:name w:val="ListLabel 25"/>
    <w:qFormat/>
    <w:rPr>
      <w:rFonts w:ascii="Times New Roman" w:hAnsi="Times New Roman" w:eastAsia="Times New Roman"/>
      <w:sz w:val="24"/>
      <w:szCs w:val="24"/>
    </w:rPr>
  </w:style>
  <w:style w:type="character" w:styleId="ListLabel26">
    <w:name w:val="ListLabel 26"/>
    <w:qFormat/>
    <w:rPr>
      <w:rFonts w:ascii="Liberation Serif" w:hAnsi="Liberation Serif" w:cs="Liberation Serif;Times New Roman"/>
      <w:sz w:val="24"/>
      <w:szCs w:val="24"/>
    </w:rPr>
  </w:style>
  <w:style w:type="character" w:styleId="ListLabel27">
    <w:name w:val="ListLabel 27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4"/>
      <w:szCs w:val="24"/>
      <w:lang w:eastAsia="en-US"/>
    </w:rPr>
  </w:style>
  <w:style w:type="character" w:styleId="ListLabel28">
    <w:name w:val="ListLabel 28"/>
    <w:qFormat/>
    <w:rPr>
      <w:rFonts w:ascii="Liberation Serif" w:hAnsi="Liberation Serif" w:cs="Liberation Serif;Times New Roman"/>
      <w:color w:val="000000"/>
      <w:sz w:val="20"/>
      <w:szCs w:val="20"/>
      <w:lang w:eastAsia="en-US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color w:val="000000"/>
      <w:sz w:val="20"/>
      <w:szCs w:val="20"/>
      <w:lang w:val="uk-UA" w:eastAsia="en-US"/>
    </w:rPr>
  </w:style>
  <w:style w:type="character" w:styleId="ListLabel30">
    <w:name w:val="ListLabel 30"/>
    <w:qFormat/>
    <w:rPr>
      <w:rFonts w:ascii="Liberation Serif" w:hAnsi="Liberation Serif" w:cs="Liberation Serif;Times New Roman"/>
      <w:sz w:val="20"/>
      <w:szCs w:val="20"/>
    </w:rPr>
  </w:style>
  <w:style w:type="character" w:styleId="ListLabel31">
    <w:name w:val="ListLabel 31"/>
    <w:qFormat/>
    <w:rPr>
      <w:rFonts w:ascii="Liberation Serif" w:hAnsi="Liberation Serif" w:eastAsia="Times New Roman" w:cs="Liberation Serif;Times New Roman"/>
      <w:spacing w:val="-4"/>
      <w:sz w:val="20"/>
      <w:szCs w:val="20"/>
    </w:rPr>
  </w:style>
  <w:style w:type="character" w:styleId="ListLabel32">
    <w:name w:val="ListLabel 32"/>
    <w:qFormat/>
    <w:rPr>
      <w:rFonts w:ascii="Liberation Serif" w:hAnsi="Liberation Serif" w:eastAsia="Times New Roman" w:cs="Liberation Serif;Times New Roman"/>
      <w:sz w:val="20"/>
      <w:szCs w:val="20"/>
    </w:rPr>
  </w:style>
  <w:style w:type="character" w:styleId="ListLabel33">
    <w:name w:val="ListLabel 33"/>
    <w:qFormat/>
    <w:rPr>
      <w:rFonts w:ascii="Liberation Serif" w:hAnsi="Liberation Serif" w:eastAsia="Times New Roman" w:cs="Liberation Serif;Times New Roman"/>
      <w:color w:val="000000"/>
      <w:sz w:val="20"/>
      <w:szCs w:val="20"/>
    </w:rPr>
  </w:style>
  <w:style w:type="character" w:styleId="ListLabel34">
    <w:name w:val="ListLabel 34"/>
    <w:qFormat/>
    <w:rPr>
      <w:rFonts w:ascii="Liberation Serif" w:hAnsi="Liberation Serif" w:eastAsia="Times New Roman" w:cs="Liberation Serif;Times New Roman"/>
      <w:i/>
      <w:iCs/>
      <w:color w:val="000000"/>
      <w:sz w:val="20"/>
      <w:szCs w:val="20"/>
      <w:lang w:eastAsia="en-US"/>
    </w:rPr>
  </w:style>
  <w:style w:type="character" w:styleId="ListLabel35">
    <w:name w:val="ListLabel 35"/>
    <w:qFormat/>
    <w:rPr>
      <w:rFonts w:ascii="Liberation Serif" w:hAnsi="Liberation Serif" w:eastAsia="Times New Roman" w:cs="Liberation Serif;Times New Roman"/>
      <w:iCs/>
      <w:color w:val="000000"/>
      <w:spacing w:val="-4"/>
      <w:sz w:val="20"/>
      <w:szCs w:val="20"/>
      <w:u w:val="none"/>
      <w:lang w:eastAsia="en-US"/>
    </w:rPr>
  </w:style>
  <w:style w:type="character" w:styleId="ListLabel36">
    <w:name w:val="ListLabel 36"/>
    <w:qFormat/>
    <w:rPr>
      <w:rFonts w:ascii="Liberation Serif;Times New Roman" w:hAnsi="Liberation Serif;Times New Roman" w:cs="Liberation Serif;Times New Roman"/>
      <w:sz w:val="20"/>
      <w:szCs w:val="20"/>
    </w:rPr>
  </w:style>
  <w:style w:type="character" w:styleId="ListLabel37">
    <w:name w:val="ListLabel 37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0"/>
      <w:szCs w:val="20"/>
      <w:lang w:eastAsia="en-US"/>
    </w:rPr>
  </w:style>
  <w:style w:type="character" w:styleId="ListLabel38">
    <w:name w:val="ListLabel 38"/>
    <w:qFormat/>
    <w:rPr>
      <w:rFonts w:ascii="Liberation Serif" w:hAnsi="Liberation Serif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39">
    <w:name w:val="ListLabel 39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40">
    <w:name w:val="ListLabel 40"/>
    <w:qFormat/>
    <w:rPr>
      <w:rFonts w:cs="Times New Roman"/>
      <w:b w:val="false"/>
      <w:sz w:val="24"/>
      <w:szCs w:val="24"/>
    </w:rPr>
  </w:style>
  <w:style w:type="character" w:styleId="ListLabel41">
    <w:name w:val="ListLabel 41"/>
    <w:qFormat/>
    <w:rPr>
      <w:rFonts w:ascii="Times New Roman" w:hAnsi="Times New Roman" w:eastAsia="Times New Roman"/>
      <w:sz w:val="24"/>
      <w:szCs w:val="24"/>
    </w:rPr>
  </w:style>
  <w:style w:type="character" w:styleId="ListLabel42">
    <w:name w:val="ListLabel 42"/>
    <w:qFormat/>
    <w:rPr>
      <w:rFonts w:ascii="Liberation Serif" w:hAnsi="Liberation Serif"/>
      <w:sz w:val="20"/>
      <w:szCs w:val="20"/>
    </w:rPr>
  </w:style>
  <w:style w:type="character" w:styleId="ListLabel43">
    <w:name w:val="ListLabel 43"/>
    <w:qFormat/>
    <w:rPr>
      <w:rFonts w:ascii="Liberation Serif" w:hAnsi="Liberation Serif"/>
      <w:color w:val="8B4513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Style23">
    <w:name w:val="Body Text Indent"/>
    <w:basedOn w:val="Normal"/>
    <w:link w:val="a5"/>
    <w:uiPriority w:val="99"/>
    <w:rsid w:val="001c4670"/>
    <w:pPr>
      <w:spacing w:lineRule="auto" w:line="240" w:before="0" w:after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unhideWhenUsed/>
    <w:qFormat/>
    <w:rsid w:val="001c467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1c4670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31" w:customStyle="1">
    <w:name w:val="Основной текст (3)"/>
    <w:basedOn w:val="Normal"/>
    <w:link w:val="3"/>
    <w:qFormat/>
    <w:rsid w:val="001c4670"/>
    <w:pPr>
      <w:shd w:val="clear" w:color="auto" w:fill="FFFFFF"/>
      <w:spacing w:lineRule="exact" w:line="317"/>
      <w:jc w:val="both"/>
    </w:pPr>
    <w:rPr>
      <w:rFonts w:ascii="Times New Roman" w:hAnsi="Times New Roman" w:eastAsia="Calibri" w:eastAsiaTheme="minorHAnsi"/>
      <w:b/>
      <w:bCs/>
      <w:spacing w:val="2"/>
      <w:sz w:val="25"/>
      <w:szCs w:val="25"/>
    </w:rPr>
  </w:style>
  <w:style w:type="paragraph" w:styleId="Style24">
    <w:name w:val="Звичайний (веб)"/>
    <w:basedOn w:val="Normal"/>
    <w:qFormat/>
    <w:pPr>
      <w:spacing w:before="280" w:after="280"/>
    </w:pPr>
    <w:rPr>
      <w:rFonts w:eastAsia="Times New Roman"/>
      <w:lang w:val="uk-UA"/>
    </w:rPr>
  </w:style>
  <w:style w:type="paragraph" w:styleId="1">
    <w:name w:val="Звичайний1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zh-CN" w:bidi="hi-IN"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diya.rostykus@lnu.edu.ua" TargetMode="External"/><Relationship Id="rId3" Type="http://schemas.openxmlformats.org/officeDocument/2006/relationships/hyperlink" Target="https://pedagogy.lnu.edu.ua/course/vstup-do-spetsialnosti-z-osnovamy-pedahohiky" TargetMode="External"/><Relationship Id="rId4" Type="http://schemas.openxmlformats.org/officeDocument/2006/relationships/hyperlink" Target="https://scienceandeducation.pdpu.edu.ua/doc/2011/5_2011/4.pdf" TargetMode="External"/><Relationship Id="rId5" Type="http://schemas.openxmlformats.org/officeDocument/2006/relationships/hyperlink" Target="https://scienceandeducation.pdpu.edu.ua/doc/2010/7_2010/32.pdf" TargetMode="External"/><Relationship Id="rId6" Type="http://schemas.openxmlformats.org/officeDocument/2006/relationships/hyperlink" Target="https://virtkafedra.ucoz.ua/el_gurnal/pages/vyp2/upravlenie/haustova.pdf" TargetMode="External"/><Relationship Id="rId7" Type="http://schemas.openxmlformats.org/officeDocument/2006/relationships/hyperlink" Target="http://osnova.com.ua/preview/book/6139/&#1057;&#1090;&#1088;&#1072;&#1085;&#1080;&#1094;&#1099; &#1080;&#1079; DNK009_blok.pdf" TargetMode="External"/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68937:&#1055;&#1077;&#1076;." TargetMode="External"/><Relationship Id="rId9" Type="http://schemas.openxmlformats.org/officeDocument/2006/relationships/hyperlink" Target="http://nbuv.gov.ua/UJRN/NZTNPU_ped_2012_2_8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LibreOffice/6.0.7.3$Linux_X86_64 LibreOffice_project/00m0$Build-3</Application>
  <Pages>8</Pages>
  <Words>2070</Words>
  <Characters>13850</Characters>
  <CharactersWithSpaces>15793</CharactersWithSpaces>
  <Paragraphs>225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2020-09-15T15:11:00Z</dcterms:created>
  <dc:creator>Lena</dc:creator>
  <dc:description/>
  <dc:language>uk-UA</dc:language>
  <cp:lastModifiedBy/>
  <dcterms:modified xsi:type="dcterms:W3CDTF">2020-10-19T03:20:32Z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