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ru-RU" w:eastAsia="ru-RU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1F4ACA9C" w:rsidR="005E2F5F" w:rsidRPr="00EC2D3A" w:rsidRDefault="004170BA" w:rsidP="005E2F5F">
            <w:pPr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 «Фізичне виховання»</w:t>
            </w:r>
            <w:r w:rsidR="005E2F5F" w:rsidRPr="00EC2D3A">
              <w:rPr>
                <w:b/>
                <w:color w:val="auto"/>
                <w:lang w:val="uk-UA"/>
              </w:rPr>
              <w:t xml:space="preserve"> І курс </w:t>
            </w:r>
          </w:p>
          <w:p w14:paraId="6F3B1C4B" w14:textId="138AB75F" w:rsidR="00B85A24" w:rsidRPr="00EC2D3A" w:rsidRDefault="00B85A24" w:rsidP="008F1B6F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8F1B6F" w14:paraId="227E2E88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8F1B6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  <w:bookmarkStart w:id="0" w:name="_GoBack"/>
            <w:bookmarkEnd w:id="0"/>
          </w:p>
        </w:tc>
      </w:tr>
      <w:tr w:rsidR="00B85A24" w:rsidRPr="00E87DD7" w14:paraId="1E7E2912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F299" w14:textId="77777777" w:rsidR="008F1B6F" w:rsidRPr="008F1B6F" w:rsidRDefault="008F1B6F" w:rsidP="008F1B6F">
            <w:pPr>
              <w:tabs>
                <w:tab w:val="left" w:pos="3600"/>
              </w:tabs>
              <w:rPr>
                <w:lang w:val="uk-UA"/>
              </w:rPr>
            </w:pPr>
            <w:r w:rsidRPr="008F1B6F">
              <w:rPr>
                <w:lang w:val="uk-UA"/>
              </w:rPr>
              <w:t>011 Освітні педагогічні науки,</w:t>
            </w:r>
          </w:p>
          <w:p w14:paraId="14438B6F" w14:textId="77777777" w:rsidR="008F1B6F" w:rsidRPr="008F1B6F" w:rsidRDefault="008F1B6F" w:rsidP="008F1B6F">
            <w:pPr>
              <w:tabs>
                <w:tab w:val="left" w:pos="3600"/>
              </w:tabs>
              <w:rPr>
                <w:lang w:val="uk-UA"/>
              </w:rPr>
            </w:pPr>
            <w:r w:rsidRPr="008F1B6F">
              <w:rPr>
                <w:lang w:val="uk-UA"/>
              </w:rPr>
              <w:t>012 Дошкільна освіта.</w:t>
            </w:r>
          </w:p>
          <w:p w14:paraId="7E48EF79" w14:textId="77777777" w:rsidR="008F1B6F" w:rsidRPr="008F1B6F" w:rsidRDefault="008F1B6F" w:rsidP="008F1B6F">
            <w:pPr>
              <w:tabs>
                <w:tab w:val="left" w:pos="3600"/>
              </w:tabs>
              <w:rPr>
                <w:lang w:val="uk-UA"/>
              </w:rPr>
            </w:pPr>
            <w:r w:rsidRPr="008F1B6F">
              <w:rPr>
                <w:lang w:val="uk-UA"/>
              </w:rPr>
              <w:t>013 Початкова освіта,</w:t>
            </w:r>
          </w:p>
          <w:p w14:paraId="4F17E01B" w14:textId="77777777" w:rsidR="008F1B6F" w:rsidRPr="008F1B6F" w:rsidRDefault="008F1B6F" w:rsidP="008F1B6F">
            <w:pPr>
              <w:tabs>
                <w:tab w:val="left" w:pos="3600"/>
              </w:tabs>
              <w:rPr>
                <w:lang w:val="uk-UA"/>
              </w:rPr>
            </w:pPr>
            <w:r w:rsidRPr="008F1B6F">
              <w:rPr>
                <w:lang w:val="uk-UA"/>
              </w:rPr>
              <w:t>016 Спеціальна освіта (за спеціалізацією)</w:t>
            </w:r>
          </w:p>
          <w:p w14:paraId="61FD3C0E" w14:textId="77777777" w:rsidR="008F1B6F" w:rsidRPr="008F1B6F" w:rsidRDefault="008F1B6F" w:rsidP="008F1B6F">
            <w:pPr>
              <w:tabs>
                <w:tab w:val="left" w:pos="3600"/>
              </w:tabs>
              <w:rPr>
                <w:lang w:val="uk-UA"/>
              </w:rPr>
            </w:pPr>
            <w:r w:rsidRPr="008F1B6F">
              <w:rPr>
                <w:lang w:val="uk-UA"/>
              </w:rPr>
              <w:t>23 Соціальна робота</w:t>
            </w:r>
          </w:p>
          <w:p w14:paraId="4A5E4B5E" w14:textId="4AF5D388" w:rsidR="00B85A24" w:rsidRPr="00EC2D3A" w:rsidRDefault="008F1B6F" w:rsidP="008F1B6F">
            <w:pPr>
              <w:rPr>
                <w:color w:val="auto"/>
                <w:lang w:val="uk-UA"/>
              </w:rPr>
            </w:pPr>
            <w:r w:rsidRPr="008F1B6F">
              <w:rPr>
                <w:lang w:val="uk-UA"/>
              </w:rPr>
              <w:t>231 Соціальна робота</w:t>
            </w:r>
          </w:p>
        </w:tc>
      </w:tr>
      <w:tr w:rsidR="00B85A24" w:rsidRPr="00E87DD7" w14:paraId="5140EC51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E1C" w14:textId="6D5EA7DD" w:rsidR="00B85A24" w:rsidRPr="008F1B6F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F1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Шу</w:t>
            </w:r>
            <w:r w:rsidR="008F1B6F" w:rsidRPr="008F1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катка Оксана Василівна, професор</w:t>
            </w:r>
          </w:p>
        </w:tc>
      </w:tr>
      <w:tr w:rsidR="00B85A24" w:rsidRPr="008F1B6F" w14:paraId="08D25661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5889" w14:textId="45F49EAE" w:rsidR="00B85A24" w:rsidRPr="008F1B6F" w:rsidRDefault="008F1B6F" w:rsidP="00FD1DA9">
            <w:pPr>
              <w:rPr>
                <w:lang w:val="uk-UA"/>
              </w:rPr>
            </w:pPr>
            <w:hyperlink r:id="rId7" w:history="1">
              <w:r w:rsidR="00FD1DA9" w:rsidRPr="008F1B6F">
                <w:rPr>
                  <w:rStyle w:val="aa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oksana.shukatka@lnu.edu.ua</w:t>
              </w:r>
            </w:hyperlink>
          </w:p>
          <w:p w14:paraId="1C2D16D9" w14:textId="7BE47628" w:rsidR="00B85A24" w:rsidRPr="00FD1DA9" w:rsidRDefault="00B85A24" w:rsidP="00FD1DA9">
            <w:pPr>
              <w:rPr>
                <w:lang w:val="uk-UA"/>
              </w:rPr>
            </w:pPr>
          </w:p>
        </w:tc>
      </w:tr>
      <w:tr w:rsidR="00B85A24" w:rsidRPr="008F1B6F" w14:paraId="376919EE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0695DD09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8F1B6F">
              <w:rPr>
                <w:color w:val="auto"/>
                <w:lang w:val="uk-UA"/>
              </w:rPr>
              <w:t>Понеділок-п’ятниця 17:20-18:20 год</w:t>
            </w:r>
            <w:r w:rsidRPr="00E87DD7">
              <w:rPr>
                <w:color w:val="FF0000"/>
                <w:lang w:val="uk-UA"/>
              </w:rPr>
              <w:t>.</w:t>
            </w:r>
            <w:r w:rsidRPr="00E87DD7">
              <w:rPr>
                <w:color w:val="auto"/>
                <w:lang w:val="uk-UA"/>
              </w:rPr>
              <w:t xml:space="preserve"> (Черемшини,</w:t>
            </w:r>
            <w:r w:rsidR="008F1B6F">
              <w:rPr>
                <w:color w:val="auto"/>
                <w:lang w:val="uk-UA"/>
              </w:rPr>
              <w:t xml:space="preserve"> </w:t>
            </w:r>
            <w:r w:rsidRPr="00E87DD7">
              <w:rPr>
                <w:color w:val="auto"/>
                <w:lang w:val="uk-UA"/>
              </w:rPr>
              <w:t xml:space="preserve">31, </w:t>
            </w:r>
            <w:proofErr w:type="spellStart"/>
            <w:r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8F1B6F" w14:paraId="4636C811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8F1B6F" w:rsidP="008F1B6F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8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8F1B6F" w14:paraId="5667069E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8F1B6F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8F1B6F" w14:paraId="10DA47B1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8F1B6F" w14:paraId="586E7A5E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8F1B6F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8F1B6F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>. посібник]. – Л. : Видавничий центр 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</w:t>
            </w: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target-groups,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8F1B6F" w14:paraId="600C78F7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8F1B6F" w14:paraId="6059F16D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8F1B6F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8F1B6F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</w:tr>
      <w:tr w:rsidR="00B85A24" w:rsidRPr="008F1B6F" w14:paraId="524A8A7E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8F1B6F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8F1B6F" w14:paraId="0E7CC790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8F1B6F" w14:paraId="0F1BA42D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8F1B6F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8F1B6F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lastRenderedPageBreak/>
              <w:t>заняттях.</w:t>
            </w:r>
          </w:p>
          <w:p w14:paraId="4B632663" w14:textId="77777777" w:rsidR="00B85A24" w:rsidRPr="009B0159" w:rsidRDefault="00B85A24" w:rsidP="008F1B6F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8F1B6F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8F1B6F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8F1B6F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8F1B6F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8F1B6F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8F1B6F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8F1B6F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8F1B6F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8F1B6F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8F1B6F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8F1B6F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8F1B6F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8F1B6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8F1B6F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8F1B6F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8F1B6F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8F1B6F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8F1B6F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8F1B6F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8F1B6F" w14:paraId="51252364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8F1B6F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8F1B6F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8F1B6F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8F1B6F" w14:paraId="1E9CD27D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8F1B6F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8F1B6F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8F1B6F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8F1B6F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8F1B6F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8F1B6F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8F1B6F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01DA550F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8F1B6F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8F1B6F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8F1B6F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8F1B6F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8F1B6F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3E4D6987" w14:textId="77777777" w:rsidR="008F1B6F" w:rsidRDefault="00B85A24" w:rsidP="008F1B6F">
            <w:pPr>
              <w:jc w:val="both"/>
              <w:rPr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</w:p>
          <w:p w14:paraId="5EC45340" w14:textId="3AD62FEB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lastRenderedPageBreak/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8F1B6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8F1B6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8F1B6F" w14:paraId="38FF7606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1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1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8F1B6F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8F1B6F" w14:paraId="0D9FAAFE" w14:textId="77777777" w:rsidTr="008F1B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8F1B6F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8F1B6F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583F930" w14:textId="77777777" w:rsidR="00E460D2" w:rsidRPr="008F1B6F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3232"/>
        <w:gridCol w:w="1134"/>
        <w:gridCol w:w="1134"/>
      </w:tblGrid>
      <w:tr w:rsidR="00B85A24" w:rsidRPr="00E87DD7" w14:paraId="73AF2DB1" w14:textId="77777777" w:rsidTr="004170BA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4170BA">
            <w:pPr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0F8F34B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Форма діяльності</w:t>
            </w:r>
          </w:p>
        </w:tc>
        <w:tc>
          <w:tcPr>
            <w:tcW w:w="3232" w:type="dxa"/>
            <w:shd w:val="clear" w:color="auto" w:fill="auto"/>
          </w:tcPr>
          <w:p w14:paraId="1B44DF8C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1134" w:type="dxa"/>
            <w:shd w:val="clear" w:color="auto" w:fill="auto"/>
          </w:tcPr>
          <w:p w14:paraId="3C40D0A8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ED505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4170BA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8F1B6F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02E73C3B" w14:textId="77777777" w:rsidR="00B85A24" w:rsidRPr="00F87FCB" w:rsidRDefault="00B85A24" w:rsidP="00ED50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7FCB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2BFB1958" w14:textId="5ECD8E44" w:rsidR="00B85A24" w:rsidRPr="00ED5052" w:rsidRDefault="00B85A24" w:rsidP="00ED50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5052">
              <w:rPr>
                <w:b/>
                <w:sz w:val="20"/>
                <w:szCs w:val="20"/>
                <w:lang w:val="uk-UA"/>
              </w:rPr>
              <w:t>17.1</w:t>
            </w:r>
            <w:r w:rsidR="00F87FCB" w:rsidRPr="00ED5052">
              <w:rPr>
                <w:b/>
                <w:sz w:val="20"/>
                <w:szCs w:val="20"/>
                <w:lang w:val="uk-UA"/>
              </w:rPr>
              <w:t>0</w:t>
            </w:r>
            <w:r w:rsidRPr="00ED5052">
              <w:rPr>
                <w:b/>
                <w:sz w:val="20"/>
                <w:szCs w:val="20"/>
                <w:lang w:val="uk-UA"/>
              </w:rPr>
              <w:t>-18.3</w:t>
            </w:r>
            <w:r w:rsidR="00F87FCB" w:rsidRPr="00ED5052">
              <w:rPr>
                <w:b/>
                <w:sz w:val="20"/>
                <w:szCs w:val="20"/>
                <w:lang w:val="uk-UA"/>
              </w:rPr>
              <w:t>0</w:t>
            </w:r>
          </w:p>
          <w:p w14:paraId="728CD4DE" w14:textId="7035420B" w:rsidR="00B85A24" w:rsidRPr="009F4979" w:rsidRDefault="00B85A24" w:rsidP="008F1B6F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8F1B6F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3F2F7305" w:rsidR="00B85A24" w:rsidRPr="00E87DD7" w:rsidRDefault="00B85A24" w:rsidP="008F1B6F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</w:t>
            </w:r>
            <w:r w:rsidR="00F87FCB">
              <w:rPr>
                <w:sz w:val="20"/>
                <w:szCs w:val="20"/>
                <w:lang w:val="uk-UA"/>
              </w:rPr>
              <w:t>ві. Техніка безпеки на заняттях</w:t>
            </w:r>
          </w:p>
          <w:p w14:paraId="6A5950E9" w14:textId="77777777" w:rsidR="00B85A24" w:rsidRPr="00E87DD7" w:rsidRDefault="00B85A24" w:rsidP="008F1B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3232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др.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др.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Сіренко Р.Р. Фізичне виховання студентів : [курс лекції] / Р.Р </w:t>
            </w: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Сіренко, О.І.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target-groups,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1134" w:type="dxa"/>
            <w:shd w:val="clear" w:color="auto" w:fill="auto"/>
          </w:tcPr>
          <w:p w14:paraId="097E5556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4170BA">
        <w:tc>
          <w:tcPr>
            <w:tcW w:w="1701" w:type="dxa"/>
            <w:shd w:val="clear" w:color="auto" w:fill="auto"/>
          </w:tcPr>
          <w:p w14:paraId="4FE74F60" w14:textId="77777777" w:rsidR="00B85A24" w:rsidRPr="00E92393" w:rsidRDefault="00B85A24" w:rsidP="008F1B6F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3ECC2ED2" w14:textId="0ED7A005" w:rsidR="00B85A24" w:rsidRPr="000B174E" w:rsidRDefault="00B85A24" w:rsidP="008F1B6F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8F1B6F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30707519" w:rsidR="00B85A24" w:rsidRPr="00F22351" w:rsidRDefault="00B85A24" w:rsidP="008F1B6F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</w:t>
            </w:r>
            <w:r w:rsidR="00F87FCB">
              <w:rPr>
                <w:color w:val="auto"/>
                <w:sz w:val="20"/>
                <w:szCs w:val="20"/>
                <w:lang w:val="uk-UA"/>
              </w:rPr>
              <w:t>аження студентів</w:t>
            </w:r>
          </w:p>
          <w:p w14:paraId="7E3EA69D" w14:textId="77777777" w:rsidR="00B85A24" w:rsidRPr="00E87DD7" w:rsidRDefault="00B85A24" w:rsidP="008F1B6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3232" w:type="dxa"/>
            <w:vMerge/>
            <w:shd w:val="clear" w:color="auto" w:fill="auto"/>
          </w:tcPr>
          <w:p w14:paraId="1CCFFABC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1D2C3AE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4170BA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8F1B6F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5-12</w:t>
            </w:r>
          </w:p>
          <w:p w14:paraId="0887F33A" w14:textId="0122A714" w:rsidR="00B85A24" w:rsidRPr="000B174E" w:rsidRDefault="00B85A24" w:rsidP="008F1B6F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8F1B6F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65AFB64C" w:rsidR="00B85A24" w:rsidRPr="00DD7EA2" w:rsidRDefault="00F87FCB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організму</w:t>
            </w:r>
          </w:p>
          <w:p w14:paraId="009DA26D" w14:textId="77777777" w:rsidR="00B85A24" w:rsidRPr="00E87DD7" w:rsidRDefault="00B85A24" w:rsidP="008F1B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3232" w:type="dxa"/>
            <w:vMerge/>
            <w:shd w:val="clear" w:color="auto" w:fill="auto"/>
          </w:tcPr>
          <w:p w14:paraId="7F755461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3331A1A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4170BA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ED5052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030FFD19" w14:textId="297053C7" w:rsidR="00B85A24" w:rsidRPr="000B174E" w:rsidRDefault="00B85A24" w:rsidP="008F1B6F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8F1B6F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8F1B6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3232" w:type="dxa"/>
            <w:vMerge/>
            <w:shd w:val="clear" w:color="auto" w:fill="auto"/>
          </w:tcPr>
          <w:p w14:paraId="3B980220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1966322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D5052" w14:paraId="0FAAEA1D" w14:textId="77777777" w:rsidTr="004170BA">
        <w:trPr>
          <w:trHeight w:val="873"/>
        </w:trPr>
        <w:tc>
          <w:tcPr>
            <w:tcW w:w="1701" w:type="dxa"/>
            <w:shd w:val="clear" w:color="auto" w:fill="auto"/>
          </w:tcPr>
          <w:p w14:paraId="53AA58EE" w14:textId="0EA4319D" w:rsidR="00B85A24" w:rsidRPr="00ED5052" w:rsidRDefault="00ED5052" w:rsidP="00ED5052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 xml:space="preserve">ІІ сем. </w:t>
            </w:r>
            <w:r w:rsidR="00B85A24" w:rsidRPr="00ED5052">
              <w:rPr>
                <w:b/>
                <w:sz w:val="20"/>
                <w:szCs w:val="20"/>
                <w:u w:val="single"/>
                <w:lang w:val="uk-UA"/>
              </w:rPr>
              <w:t>17</w:t>
            </w:r>
          </w:p>
          <w:p w14:paraId="49228897" w14:textId="77777777" w:rsidR="00B85A24" w:rsidRPr="00ED5052" w:rsidRDefault="00B85A24" w:rsidP="008F1B6F">
            <w:pPr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8F1B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6656BC0F" w:rsidR="00B85A24" w:rsidRPr="00641B7A" w:rsidRDefault="00B85A24" w:rsidP="008F1B6F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</w:t>
            </w:r>
            <w:r w:rsidR="00F87FCB">
              <w:rPr>
                <w:color w:val="auto"/>
                <w:sz w:val="20"/>
                <w:szCs w:val="20"/>
                <w:lang w:val="uk-UA"/>
              </w:rPr>
              <w:t>му засобами фізичного виховання</w:t>
            </w:r>
          </w:p>
          <w:p w14:paraId="1B3BD467" w14:textId="77777777" w:rsidR="00B85A24" w:rsidRPr="00E87DD7" w:rsidRDefault="00B85A24" w:rsidP="008F1B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>Практичні заняття (групові)</w:t>
            </w:r>
          </w:p>
        </w:tc>
        <w:tc>
          <w:tcPr>
            <w:tcW w:w="3232" w:type="dxa"/>
            <w:vMerge/>
            <w:shd w:val="clear" w:color="auto" w:fill="auto"/>
          </w:tcPr>
          <w:p w14:paraId="5CA8BD13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06A70F2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4170BA">
        <w:trPr>
          <w:trHeight w:val="1290"/>
        </w:trPr>
        <w:tc>
          <w:tcPr>
            <w:tcW w:w="1701" w:type="dxa"/>
            <w:shd w:val="clear" w:color="auto" w:fill="auto"/>
          </w:tcPr>
          <w:p w14:paraId="0CA0BC3F" w14:textId="1D08A942" w:rsidR="00B85A24" w:rsidRPr="00ED5052" w:rsidRDefault="00ED5052" w:rsidP="00ED5052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lastRenderedPageBreak/>
              <w:t xml:space="preserve">ІІ сем. </w:t>
            </w:r>
            <w:r w:rsidR="00B85A24" w:rsidRPr="00ED5052">
              <w:rPr>
                <w:b/>
                <w:sz w:val="20"/>
                <w:szCs w:val="20"/>
                <w:u w:val="single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8F1B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8F1B6F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8F1B6F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3232" w:type="dxa"/>
            <w:vMerge/>
            <w:shd w:val="clear" w:color="auto" w:fill="auto"/>
          </w:tcPr>
          <w:p w14:paraId="1416CFB4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A2AFAFD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D5052" w14:paraId="0B7AF74A" w14:textId="77777777" w:rsidTr="004170BA">
        <w:trPr>
          <w:trHeight w:val="1103"/>
        </w:trPr>
        <w:tc>
          <w:tcPr>
            <w:tcW w:w="1701" w:type="dxa"/>
            <w:shd w:val="clear" w:color="auto" w:fill="auto"/>
          </w:tcPr>
          <w:p w14:paraId="31D614C3" w14:textId="72E8A35B" w:rsidR="00B85A24" w:rsidRPr="00ED5052" w:rsidRDefault="00ED5052" w:rsidP="00ED5052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 xml:space="preserve">ІІ сем. </w:t>
            </w:r>
            <w:r w:rsidR="00B85A24" w:rsidRPr="00ED5052">
              <w:rPr>
                <w:b/>
                <w:sz w:val="20"/>
                <w:szCs w:val="20"/>
                <w:u w:val="single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8F1B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8F1B6F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8F1B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3232" w:type="dxa"/>
            <w:vMerge/>
            <w:shd w:val="clear" w:color="auto" w:fill="auto"/>
          </w:tcPr>
          <w:p w14:paraId="6462C175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BA496DF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4170BA">
        <w:trPr>
          <w:trHeight w:val="1528"/>
        </w:trPr>
        <w:tc>
          <w:tcPr>
            <w:tcW w:w="1701" w:type="dxa"/>
            <w:shd w:val="clear" w:color="auto" w:fill="auto"/>
          </w:tcPr>
          <w:p w14:paraId="113739DD" w14:textId="61CFC61A" w:rsidR="00B85A24" w:rsidRPr="00ED5052" w:rsidRDefault="00ED5052" w:rsidP="00ED5052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 xml:space="preserve">ІІ сем. </w:t>
            </w:r>
            <w:r w:rsidR="00B85A24" w:rsidRPr="00ED5052">
              <w:rPr>
                <w:b/>
                <w:sz w:val="20"/>
                <w:szCs w:val="20"/>
                <w:u w:val="single"/>
                <w:lang w:val="uk-UA"/>
              </w:rPr>
              <w:t>29-32</w:t>
            </w:r>
          </w:p>
          <w:p w14:paraId="0EB380B2" w14:textId="77777777" w:rsidR="00B85A24" w:rsidRPr="00ED5052" w:rsidRDefault="00B85A24" w:rsidP="008F1B6F">
            <w:pPr>
              <w:jc w:val="both"/>
              <w:rPr>
                <w:b/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8F1B6F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5D2FDDA1" w:rsidR="00B85A24" w:rsidRPr="009B0159" w:rsidRDefault="00B85A24" w:rsidP="008F1B6F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</w:t>
            </w:r>
            <w:r w:rsidR="00ED5052">
              <w:rPr>
                <w:color w:val="auto"/>
                <w:sz w:val="20"/>
                <w:szCs w:val="20"/>
                <w:lang w:val="uk-UA"/>
              </w:rPr>
              <w:t>гічного розвантаження студентів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8F1B6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3232" w:type="dxa"/>
            <w:vMerge/>
            <w:shd w:val="clear" w:color="auto" w:fill="auto"/>
          </w:tcPr>
          <w:p w14:paraId="4519A402" w14:textId="77777777" w:rsidR="00B85A24" w:rsidRPr="00E87DD7" w:rsidRDefault="00B85A24" w:rsidP="008F1B6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3B5C01D" w14:textId="77777777" w:rsidR="00B85A24" w:rsidRPr="00E87DD7" w:rsidRDefault="00B85A24" w:rsidP="008F1B6F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4170B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076AB0"/>
    <w:rsid w:val="001F2D23"/>
    <w:rsid w:val="00234D47"/>
    <w:rsid w:val="002B2233"/>
    <w:rsid w:val="004170BA"/>
    <w:rsid w:val="004452CC"/>
    <w:rsid w:val="00527AB4"/>
    <w:rsid w:val="00583178"/>
    <w:rsid w:val="005E2F5F"/>
    <w:rsid w:val="0087761B"/>
    <w:rsid w:val="0089258C"/>
    <w:rsid w:val="008F1B6F"/>
    <w:rsid w:val="009448CF"/>
    <w:rsid w:val="0098644B"/>
    <w:rsid w:val="00994EC5"/>
    <w:rsid w:val="009F4979"/>
    <w:rsid w:val="00B54D1E"/>
    <w:rsid w:val="00B821A6"/>
    <w:rsid w:val="00B85A24"/>
    <w:rsid w:val="00DB0B68"/>
    <w:rsid w:val="00E2261B"/>
    <w:rsid w:val="00E460D2"/>
    <w:rsid w:val="00EC2D3A"/>
    <w:rsid w:val="00ED5052"/>
    <w:rsid w:val="00F87FCB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1B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B6F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1B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B6F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department/physical-education-and-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ana.shukatk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VN</cp:lastModifiedBy>
  <cp:revision>22</cp:revision>
  <dcterms:created xsi:type="dcterms:W3CDTF">2023-09-05T13:03:00Z</dcterms:created>
  <dcterms:modified xsi:type="dcterms:W3CDTF">2023-09-07T19:21:00Z</dcterms:modified>
</cp:coreProperties>
</file>