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A08" w:rsidRPr="007C4B57" w:rsidRDefault="00172A08" w:rsidP="00172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ind w:lef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Міністерство освіти і науки України</w:t>
      </w: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Львівський національний університет імені Івана Франка</w:t>
      </w: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Затверджено Вченою радою</w:t>
      </w: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Львівського національного університету </w:t>
      </w: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імені Івана Франка</w:t>
      </w: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Голова Вченої ради</w:t>
      </w: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Мельник В.П.       ________________</w:t>
      </w: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(протокол </w:t>
      </w:r>
      <w:r w:rsidR="00E01372"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№ _____ від «___»__________ 2021</w:t>
      </w: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р.)</w:t>
      </w: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ru-RU"/>
        </w:rPr>
      </w:pPr>
      <w:r w:rsidRPr="007C4B57">
        <w:rPr>
          <w:rFonts w:ascii="Times New Roman" w:eastAsia="Times New Roman" w:hAnsi="Times New Roman" w:cs="Times New Roman"/>
          <w:b/>
          <w:caps/>
          <w:sz w:val="28"/>
          <w:szCs w:val="28"/>
        </w:rPr>
        <w:t>освітНЬО-наукова програма</w:t>
      </w:r>
    </w:p>
    <w:p w:rsidR="00172A08" w:rsidRPr="007C4B57" w:rsidRDefault="00172A08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C4B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«</w:t>
      </w:r>
      <w:r w:rsidR="00E01372" w:rsidRPr="007C4B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Освітні, педагогічні науки</w:t>
      </w:r>
      <w:r w:rsidRPr="007C4B57">
        <w:rPr>
          <w:rFonts w:ascii="Times New Roman" w:hAnsi="Times New Roman" w:cs="Times New Roman"/>
          <w:b/>
          <w:sz w:val="28"/>
          <w:szCs w:val="28"/>
        </w:rPr>
        <w:t>»</w:t>
      </w:r>
    </w:p>
    <w:p w:rsidR="00172A08" w:rsidRPr="007C4B57" w:rsidRDefault="00172A08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</w:rPr>
        <w:t>третього(</w:t>
      </w:r>
      <w:proofErr w:type="spellStart"/>
      <w:r w:rsidRPr="007C4B57">
        <w:rPr>
          <w:rFonts w:ascii="Times New Roman" w:eastAsia="Times New Roman" w:hAnsi="Times New Roman" w:cs="Times New Roman"/>
          <w:b/>
          <w:sz w:val="28"/>
          <w:szCs w:val="28"/>
        </w:rPr>
        <w:t>освітньо-наукового</w:t>
      </w:r>
      <w:proofErr w:type="spellEnd"/>
      <w:r w:rsidRPr="007C4B57">
        <w:rPr>
          <w:rFonts w:ascii="Times New Roman" w:eastAsia="Times New Roman" w:hAnsi="Times New Roman" w:cs="Times New Roman"/>
          <w:b/>
          <w:sz w:val="28"/>
          <w:szCs w:val="28"/>
        </w:rPr>
        <w:t>)рівня вищої освіти</w:t>
      </w:r>
    </w:p>
    <w:p w:rsidR="00E01372" w:rsidRPr="007C4B57" w:rsidRDefault="00E01372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7C4B57">
        <w:rPr>
          <w:rFonts w:ascii="Times New Roman" w:hAnsi="Times New Roman" w:cs="Times New Roman"/>
          <w:b/>
          <w:sz w:val="28"/>
          <w:szCs w:val="28"/>
        </w:rPr>
        <w:t>доктор філософії</w:t>
      </w:r>
    </w:p>
    <w:p w:rsidR="00172A08" w:rsidRPr="007C4B57" w:rsidRDefault="00172A08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</w:rPr>
        <w:t xml:space="preserve">за спеціальністю </w:t>
      </w:r>
      <w:r w:rsidR="00E01372" w:rsidRPr="007C4B57">
        <w:rPr>
          <w:rFonts w:ascii="Times New Roman" w:hAnsi="Times New Roman" w:cs="Times New Roman"/>
          <w:b/>
          <w:sz w:val="28"/>
          <w:szCs w:val="28"/>
        </w:rPr>
        <w:t>011 Освітні, педагогічні науки</w:t>
      </w:r>
    </w:p>
    <w:p w:rsidR="00172A08" w:rsidRPr="007C4B57" w:rsidRDefault="00E01372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</w:rPr>
        <w:t xml:space="preserve">галузі знань 01 </w:t>
      </w:r>
      <w:r w:rsidR="00172A08" w:rsidRPr="007C4B57">
        <w:rPr>
          <w:rFonts w:ascii="Times New Roman" w:eastAsia="Times New Roman" w:hAnsi="Times New Roman" w:cs="Times New Roman"/>
          <w:b/>
          <w:sz w:val="28"/>
          <w:szCs w:val="28"/>
        </w:rPr>
        <w:t>Освіта / Педагогіка</w:t>
      </w:r>
    </w:p>
    <w:p w:rsidR="00172A08" w:rsidRPr="007C4B57" w:rsidRDefault="00172A08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A08" w:rsidRPr="007C4B57" w:rsidRDefault="00172A08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A08" w:rsidRPr="007C4B57" w:rsidRDefault="00172A08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A08" w:rsidRPr="007C4B57" w:rsidRDefault="00172A08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A08" w:rsidRPr="007C4B57" w:rsidRDefault="00172A08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172A08" w:rsidRPr="007C4B57" w:rsidRDefault="00172A08" w:rsidP="00172A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72A08" w:rsidRPr="007C4B57" w:rsidRDefault="00E01372" w:rsidP="00172A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C4B57">
        <w:rPr>
          <w:rFonts w:ascii="Times New Roman" w:eastAsia="Times New Roman" w:hAnsi="Times New Roman" w:cs="Times New Roman"/>
          <w:sz w:val="28"/>
          <w:szCs w:val="28"/>
        </w:rPr>
        <w:t xml:space="preserve">Освітня </w:t>
      </w:r>
      <w:r w:rsidR="00172A08" w:rsidRPr="007C4B57">
        <w:rPr>
          <w:rFonts w:ascii="Times New Roman" w:eastAsia="Times New Roman" w:hAnsi="Times New Roman" w:cs="Times New Roman"/>
          <w:sz w:val="28"/>
          <w:szCs w:val="28"/>
        </w:rPr>
        <w:t>програма в оновленій редакції</w:t>
      </w:r>
    </w:p>
    <w:p w:rsidR="00172A08" w:rsidRPr="007C4B57" w:rsidRDefault="00E01372" w:rsidP="00172A08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7C4B57">
        <w:rPr>
          <w:rFonts w:ascii="Times New Roman" w:eastAsia="Times New Roman" w:hAnsi="Times New Roman" w:cs="Times New Roman"/>
          <w:sz w:val="28"/>
          <w:szCs w:val="28"/>
        </w:rPr>
        <w:t>вводиться в дію з 01.09. 2021</w:t>
      </w:r>
      <w:r w:rsidR="00172A08" w:rsidRPr="007C4B57">
        <w:rPr>
          <w:rFonts w:ascii="Times New Roman" w:eastAsia="Times New Roman" w:hAnsi="Times New Roman" w:cs="Times New Roman"/>
          <w:sz w:val="28"/>
          <w:szCs w:val="28"/>
        </w:rPr>
        <w:t xml:space="preserve"> р.</w:t>
      </w:r>
    </w:p>
    <w:p w:rsidR="00172A08" w:rsidRPr="007C4B57" w:rsidRDefault="00172A08" w:rsidP="00172A0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72A08" w:rsidRPr="007C4B57" w:rsidRDefault="00E01372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Львів - 2021</w:t>
      </w:r>
    </w:p>
    <w:p w:rsidR="00172A08" w:rsidRPr="007C4B57" w:rsidRDefault="00172A08" w:rsidP="00172A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72A08" w:rsidRPr="007C4B57" w:rsidRDefault="00172A08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ПЕРЕДМОВА</w:t>
      </w:r>
    </w:p>
    <w:p w:rsidR="00E67394" w:rsidRPr="007C4B57" w:rsidRDefault="00E67394" w:rsidP="00172A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A08" w:rsidRPr="007C4B57" w:rsidRDefault="00172A08" w:rsidP="00E67394">
      <w:pPr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Освітньо-наукову</w:t>
      </w:r>
      <w:proofErr w:type="spellEnd"/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програму розроблено робочою групою у складі:</w:t>
      </w:r>
    </w:p>
    <w:p w:rsidR="00172A08" w:rsidRPr="007C4B57" w:rsidRDefault="00172A08" w:rsidP="00172A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A08" w:rsidRPr="007C4B57" w:rsidRDefault="00E01372" w:rsidP="00172A08">
      <w:pPr>
        <w:pStyle w:val="af0"/>
        <w:numPr>
          <w:ilvl w:val="0"/>
          <w:numId w:val="2"/>
        </w:num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4B57">
        <w:rPr>
          <w:rFonts w:ascii="Times New Roman" w:hAnsi="Times New Roman"/>
          <w:sz w:val="24"/>
          <w:szCs w:val="24"/>
        </w:rPr>
        <w:t xml:space="preserve">Квас Олена Валеріївна </w:t>
      </w:r>
      <w:r w:rsidR="00172A08" w:rsidRPr="007C4B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– </w:t>
      </w:r>
      <w:r w:rsidRPr="007C4B57">
        <w:rPr>
          <w:rFonts w:ascii="Times New Roman" w:eastAsia="Times New Roman" w:hAnsi="Times New Roman"/>
          <w:sz w:val="24"/>
          <w:szCs w:val="24"/>
          <w:lang w:val="uk-UA" w:eastAsia="ru-RU"/>
        </w:rPr>
        <w:t>доктор педагогічних наук, професор</w:t>
      </w:r>
      <w:r w:rsidR="00172A08" w:rsidRPr="007C4B57">
        <w:rPr>
          <w:rFonts w:ascii="Times New Roman" w:eastAsia="Times New Roman" w:hAnsi="Times New Roman"/>
          <w:sz w:val="24"/>
          <w:szCs w:val="24"/>
          <w:lang w:val="uk-UA" w:eastAsia="ru-RU"/>
        </w:rPr>
        <w:t>, завідувач кафедри</w:t>
      </w:r>
      <w:r w:rsidRPr="007C4B57">
        <w:rPr>
          <w:rFonts w:ascii="Times New Roman" w:eastAsia="Times New Roman" w:hAnsi="Times New Roman"/>
          <w:sz w:val="24"/>
          <w:szCs w:val="24"/>
        </w:rPr>
        <w:t xml:space="preserve"> педагогіки та педагогіки вищої школи</w:t>
      </w:r>
      <w:r w:rsidR="00172A08" w:rsidRPr="007C4B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(гарант освітньої програми).</w:t>
      </w:r>
    </w:p>
    <w:p w:rsidR="00172A08" w:rsidRPr="007C4B57" w:rsidRDefault="00172A08" w:rsidP="00172A08">
      <w:pPr>
        <w:pStyle w:val="af0"/>
        <w:numPr>
          <w:ilvl w:val="0"/>
          <w:numId w:val="2"/>
        </w:num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C4B57">
        <w:rPr>
          <w:rFonts w:ascii="Times New Roman" w:eastAsia="Times New Roman" w:hAnsi="Times New Roman"/>
          <w:sz w:val="24"/>
          <w:szCs w:val="24"/>
          <w:lang w:val="uk-UA" w:eastAsia="ru-RU"/>
        </w:rPr>
        <w:t>Герцюк</w:t>
      </w:r>
      <w:proofErr w:type="spellEnd"/>
      <w:r w:rsidRPr="007C4B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Дмитро Дмитрович – кандидат педагогічних наук, доцент, декан факультету педагогічної освіти.</w:t>
      </w:r>
    </w:p>
    <w:p w:rsidR="00172A08" w:rsidRPr="007C4B57" w:rsidRDefault="00E01372" w:rsidP="00172A08">
      <w:pPr>
        <w:pStyle w:val="af0"/>
        <w:numPr>
          <w:ilvl w:val="0"/>
          <w:numId w:val="2"/>
        </w:num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proofErr w:type="spellStart"/>
      <w:r w:rsidRPr="007C4B57">
        <w:rPr>
          <w:rFonts w:ascii="Times New Roman" w:hAnsi="Times New Roman"/>
          <w:iCs/>
          <w:sz w:val="24"/>
          <w:szCs w:val="24"/>
          <w:lang w:val="uk-UA"/>
        </w:rPr>
        <w:t>Микитюк</w:t>
      </w:r>
      <w:proofErr w:type="spellEnd"/>
      <w:r w:rsidRPr="007C4B57">
        <w:rPr>
          <w:rFonts w:ascii="Times New Roman" w:hAnsi="Times New Roman"/>
          <w:iCs/>
          <w:sz w:val="24"/>
          <w:szCs w:val="24"/>
          <w:lang w:val="uk-UA"/>
        </w:rPr>
        <w:t xml:space="preserve"> Володимир Ількович </w:t>
      </w:r>
      <w:r w:rsidRPr="007C4B57">
        <w:rPr>
          <w:rFonts w:ascii="Times New Roman" w:eastAsia="Times New Roman" w:hAnsi="Times New Roman"/>
          <w:sz w:val="24"/>
          <w:szCs w:val="24"/>
          <w:lang w:val="uk-UA" w:eastAsia="ru-RU"/>
        </w:rPr>
        <w:t>–</w:t>
      </w:r>
      <w:r w:rsidRPr="007C4B57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Pr="007C4B57">
        <w:rPr>
          <w:rFonts w:ascii="Times New Roman" w:hAnsi="Times New Roman"/>
        </w:rPr>
        <w:t xml:space="preserve">доктор педагогічних наук, доцент, завідувач </w:t>
      </w:r>
      <w:hyperlink r:id="rId6" w:history="1">
        <w:r w:rsidRPr="007C4B57">
          <w:rPr>
            <w:rStyle w:val="a3"/>
            <w:rFonts w:ascii="Times New Roman" w:hAnsi="Times New Roman"/>
            <w:color w:val="auto"/>
            <w:u w:val="none"/>
          </w:rPr>
          <w:t>кафедри української літератури імені академіка Михайла Возняка</w:t>
        </w:r>
      </w:hyperlink>
      <w:r w:rsidRPr="007C4B57">
        <w:rPr>
          <w:rFonts w:ascii="Times New Roman" w:hAnsi="Times New Roman"/>
        </w:rPr>
        <w:t>.</w:t>
      </w:r>
    </w:p>
    <w:p w:rsidR="00172A08" w:rsidRPr="007C4B57" w:rsidRDefault="00172A08" w:rsidP="00172A08">
      <w:pPr>
        <w:pStyle w:val="af0"/>
        <w:numPr>
          <w:ilvl w:val="0"/>
          <w:numId w:val="2"/>
        </w:num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4B57">
        <w:rPr>
          <w:rFonts w:ascii="Times New Roman" w:eastAsia="Times New Roman" w:hAnsi="Times New Roman"/>
          <w:sz w:val="24"/>
          <w:szCs w:val="24"/>
          <w:lang w:val="uk-UA" w:eastAsia="ru-RU"/>
        </w:rPr>
        <w:t>Ковальчук Лариса Онисимівна – кандидат педагогічних наук, доцент, доцент кафедри загальної педагогіки та педагогіки вищої школи.</w:t>
      </w:r>
    </w:p>
    <w:p w:rsidR="00172A08" w:rsidRPr="007C4B57" w:rsidRDefault="00E01372" w:rsidP="00172A08">
      <w:pPr>
        <w:pStyle w:val="af0"/>
        <w:numPr>
          <w:ilvl w:val="0"/>
          <w:numId w:val="2"/>
        </w:num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7C4B57">
        <w:rPr>
          <w:rFonts w:ascii="Times New Roman" w:hAnsi="Times New Roman"/>
          <w:sz w:val="24"/>
          <w:szCs w:val="24"/>
        </w:rPr>
        <w:t xml:space="preserve">Цюра </w:t>
      </w:r>
      <w:proofErr w:type="gramStart"/>
      <w:r w:rsidRPr="007C4B57">
        <w:rPr>
          <w:rFonts w:ascii="Times New Roman" w:hAnsi="Times New Roman"/>
          <w:sz w:val="24"/>
          <w:szCs w:val="24"/>
        </w:rPr>
        <w:t>Св</w:t>
      </w:r>
      <w:proofErr w:type="gramEnd"/>
      <w:r w:rsidRPr="007C4B57">
        <w:rPr>
          <w:rFonts w:ascii="Times New Roman" w:hAnsi="Times New Roman"/>
          <w:sz w:val="24"/>
          <w:szCs w:val="24"/>
        </w:rPr>
        <w:t>ітлана Богданівна</w:t>
      </w:r>
      <w:r w:rsidRPr="007C4B57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– кандидат педагогічних наук, доцент, доцент кафедри загальної педагогіки та педагогіки вищої школи.</w:t>
      </w:r>
    </w:p>
    <w:p w:rsidR="00172A08" w:rsidRPr="007C4B57" w:rsidRDefault="00172A08" w:rsidP="00172A08">
      <w:pPr>
        <w:spacing w:after="0" w:line="240" w:lineRule="auto"/>
        <w:ind w:firstLine="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72A08" w:rsidRPr="007C4B57" w:rsidRDefault="00172A08" w:rsidP="00172A08">
      <w:pPr>
        <w:spacing w:after="0" w:line="240" w:lineRule="auto"/>
        <w:ind w:left="432" w:firstLine="28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Програма відповідає третьому (</w:t>
      </w:r>
      <w:proofErr w:type="spellStart"/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освітньо-науковому</w:t>
      </w:r>
      <w:proofErr w:type="spellEnd"/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) рівню вищої освіти та восьмому кваліфікаційному рівню за Національною рамкою кваліфікацій, затвердженою Постановою Кабінету Міністрів України № 1341 від 23.11.2011 р. «Про затвердження Національної рамки кваліфікацій» (зі змінами, внесеними згідно з Постановами КМ № 509 від 12.06.2019; № 519 від 25.06.2020).</w:t>
      </w:r>
    </w:p>
    <w:p w:rsidR="00172A08" w:rsidRPr="007C4B57" w:rsidRDefault="00172A08" w:rsidP="0017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2A08" w:rsidRPr="007C4B57" w:rsidRDefault="00172A08" w:rsidP="00172A08">
      <w:pPr>
        <w:spacing w:after="0" w:line="24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Гарант о</w:t>
      </w:r>
      <w:r w:rsidR="003C1800"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світньої програми</w:t>
      </w:r>
      <w:r w:rsidR="00306929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="003C1800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проф. Квас О.В.</w:t>
      </w:r>
    </w:p>
    <w:p w:rsidR="00172A08" w:rsidRPr="007C4B57" w:rsidRDefault="00172A08" w:rsidP="0017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08" w:rsidRPr="007C4B57" w:rsidRDefault="00172A08" w:rsidP="00172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Рецензенти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7394" w:rsidRPr="007C4B57" w:rsidRDefault="00E67394" w:rsidP="00172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08" w:rsidRPr="007C4B57" w:rsidRDefault="00E67394" w:rsidP="00E673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proofErr w:type="spellStart"/>
      <w:r w:rsidR="00BD6F4F" w:rsidRPr="007C4B57">
        <w:rPr>
          <w:rFonts w:ascii="Times New Roman" w:eastAsia="Times New Roman" w:hAnsi="Times New Roman"/>
          <w:sz w:val="24"/>
          <w:szCs w:val="24"/>
          <w:lang w:eastAsia="ru-RU"/>
        </w:rPr>
        <w:t>Невмержицька</w:t>
      </w:r>
      <w:proofErr w:type="spellEnd"/>
      <w:r w:rsidR="003805A8" w:rsidRPr="007C4B57">
        <w:rPr>
          <w:rFonts w:ascii="Times New Roman" w:eastAsia="Times New Roman" w:hAnsi="Times New Roman"/>
          <w:sz w:val="24"/>
          <w:szCs w:val="24"/>
          <w:lang w:eastAsia="ru-RU"/>
        </w:rPr>
        <w:t xml:space="preserve"> Олена Василівна</w:t>
      </w:r>
      <w:r w:rsidR="00172A08" w:rsidRPr="007C4B57">
        <w:rPr>
          <w:rFonts w:ascii="Times New Roman" w:eastAsia="Times New Roman" w:hAnsi="Times New Roman"/>
          <w:sz w:val="24"/>
          <w:szCs w:val="24"/>
          <w:lang w:eastAsia="ru-RU"/>
        </w:rPr>
        <w:t xml:space="preserve">, доктор педагогічних наук, професор, </w:t>
      </w:r>
    </w:p>
    <w:p w:rsidR="00172A08" w:rsidRPr="007C4B57" w:rsidRDefault="00172A08" w:rsidP="00E673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/>
          <w:sz w:val="24"/>
          <w:szCs w:val="24"/>
          <w:lang w:eastAsia="ru-RU"/>
        </w:rPr>
        <w:t>Дрогобицький державний педагогічний університет</w:t>
      </w:r>
      <w:r w:rsidR="002A7DF0" w:rsidRPr="007C4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B57">
        <w:rPr>
          <w:rFonts w:ascii="Times New Roman" w:eastAsia="Times New Roman" w:hAnsi="Times New Roman"/>
          <w:sz w:val="24"/>
          <w:szCs w:val="24"/>
          <w:lang w:eastAsia="ru-RU"/>
        </w:rPr>
        <w:t>імені Івана Франка</w:t>
      </w:r>
      <w:r w:rsidR="00E67394" w:rsidRPr="007C4B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172A08" w:rsidRPr="007C4B57" w:rsidRDefault="00E67394" w:rsidP="00E673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proofErr w:type="spellStart"/>
      <w:r w:rsidR="003805A8" w:rsidRPr="007C4B57">
        <w:rPr>
          <w:rFonts w:ascii="Times New Roman" w:eastAsia="Times New Roman" w:hAnsi="Times New Roman"/>
          <w:sz w:val="24"/>
          <w:szCs w:val="24"/>
          <w:lang w:eastAsia="ru-RU"/>
        </w:rPr>
        <w:t>Сти</w:t>
      </w:r>
      <w:r w:rsidR="00BD6F4F" w:rsidRPr="007C4B57">
        <w:rPr>
          <w:rFonts w:ascii="Times New Roman" w:eastAsia="Times New Roman" w:hAnsi="Times New Roman"/>
          <w:sz w:val="24"/>
          <w:szCs w:val="24"/>
          <w:lang w:eastAsia="ru-RU"/>
        </w:rPr>
        <w:t>нська</w:t>
      </w:r>
      <w:proofErr w:type="spellEnd"/>
      <w:r w:rsidR="00BD6F4F" w:rsidRPr="007C4B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7C4B57">
        <w:rPr>
          <w:rFonts w:ascii="Times New Roman" w:eastAsia="Times New Roman" w:hAnsi="Times New Roman"/>
          <w:sz w:val="24"/>
          <w:szCs w:val="24"/>
          <w:lang w:eastAsia="ru-RU"/>
        </w:rPr>
        <w:t>Вікторія Володими</w:t>
      </w:r>
      <w:r w:rsidR="003805A8" w:rsidRPr="007C4B57">
        <w:rPr>
          <w:rFonts w:ascii="Times New Roman" w:eastAsia="Times New Roman" w:hAnsi="Times New Roman"/>
          <w:sz w:val="24"/>
          <w:szCs w:val="24"/>
          <w:lang w:eastAsia="ru-RU"/>
        </w:rPr>
        <w:t>рівна</w:t>
      </w:r>
      <w:r w:rsidR="00172A08" w:rsidRPr="007C4B57">
        <w:rPr>
          <w:rFonts w:ascii="Times New Roman" w:eastAsia="Times New Roman" w:hAnsi="Times New Roman"/>
          <w:sz w:val="24"/>
          <w:szCs w:val="24"/>
          <w:lang w:eastAsia="ru-RU"/>
        </w:rPr>
        <w:t>, доктор педагогічних наук, професор,</w:t>
      </w:r>
    </w:p>
    <w:p w:rsidR="00172A08" w:rsidRPr="007C4B57" w:rsidRDefault="003805A8" w:rsidP="00E67394">
      <w:pPr>
        <w:spacing w:after="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C4B57">
        <w:rPr>
          <w:rFonts w:ascii="Times New Roman" w:hAnsi="Times New Roman"/>
          <w:sz w:val="24"/>
          <w:szCs w:val="24"/>
          <w:shd w:val="clear" w:color="auto" w:fill="FFFFFF"/>
        </w:rPr>
        <w:t>Прикарпатський національному університеті імені Василя Стефаника</w:t>
      </w:r>
      <w:r w:rsidR="00E67394" w:rsidRPr="007C4B57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172A08" w:rsidRPr="007C4B57" w:rsidRDefault="00172A08" w:rsidP="00172A08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08" w:rsidRPr="007C4B57" w:rsidRDefault="00172A08" w:rsidP="008359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Рецензії-відгуки зовнішніх </w:t>
      </w:r>
      <w:proofErr w:type="spellStart"/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стейкхолдерів</w:t>
      </w:r>
      <w:proofErr w:type="spellEnd"/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67394" w:rsidRPr="007C4B57" w:rsidRDefault="00E67394" w:rsidP="008359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359BC" w:rsidRPr="007C4B57" w:rsidRDefault="00172A08" w:rsidP="008359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spellStart"/>
      <w:r w:rsidR="008359BC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Чепіль</w:t>
      </w:r>
      <w:proofErr w:type="spellEnd"/>
      <w:r w:rsidR="008359BC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Марія Миронівна, завідувач кафедри загальної педагоги та дошкільної освіти,</w:t>
      </w:r>
    </w:p>
    <w:p w:rsidR="00172A08" w:rsidRPr="007C4B57" w:rsidRDefault="008359BC" w:rsidP="008359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/>
          <w:sz w:val="24"/>
          <w:szCs w:val="24"/>
          <w:lang w:eastAsia="ru-RU"/>
        </w:rPr>
        <w:t>Дрогобицький державний педагогічний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університет імені Івана Франка, </w:t>
      </w:r>
      <w:r w:rsidRPr="007C4B57">
        <w:rPr>
          <w:rFonts w:ascii="Times New Roman" w:eastAsia="Times New Roman" w:hAnsi="Times New Roman"/>
          <w:sz w:val="24"/>
          <w:szCs w:val="24"/>
          <w:lang w:eastAsia="ru-RU"/>
        </w:rPr>
        <w:t>доктор педагогічних наук, професор</w:t>
      </w:r>
      <w:r w:rsidR="00E67394" w:rsidRPr="007C4B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3805A8" w:rsidRPr="007C4B57" w:rsidRDefault="00172A08" w:rsidP="008359BC">
      <w:pPr>
        <w:pStyle w:val="3"/>
        <w:shd w:val="clear" w:color="auto" w:fill="FFFFFF"/>
        <w:spacing w:before="0" w:line="240" w:lineRule="auto"/>
        <w:ind w:left="426"/>
        <w:textAlignment w:val="baseline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</w:pPr>
      <w:r w:rsidRPr="007C4B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ru-RU"/>
        </w:rPr>
        <w:t>2.</w:t>
      </w:r>
      <w:r w:rsidR="008359BC" w:rsidRPr="007C4B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ru-RU"/>
        </w:rPr>
        <w:t xml:space="preserve"> </w:t>
      </w:r>
      <w:proofErr w:type="spellStart"/>
      <w:r w:rsidR="003805A8" w:rsidRPr="007C4B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ru-RU"/>
        </w:rPr>
        <w:t>Клонцак</w:t>
      </w:r>
      <w:proofErr w:type="spellEnd"/>
      <w:r w:rsidR="003805A8" w:rsidRPr="007C4B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ru-RU"/>
        </w:rPr>
        <w:t xml:space="preserve"> Ореста Ігорівна</w:t>
      </w:r>
      <w:r w:rsidRPr="007C4B5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,</w:t>
      </w:r>
      <w:r w:rsidR="003805A8" w:rsidRPr="007C4B5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 xml:space="preserve"> </w:t>
      </w:r>
      <w:r w:rsidR="003805A8" w:rsidRPr="007C4B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  <w:t xml:space="preserve">заступник завідувача кафедри по роботі з викладачами іноземних мов Львівська медична академія імені </w:t>
      </w:r>
      <w:proofErr w:type="spellStart"/>
      <w:r w:rsidR="003805A8" w:rsidRPr="007C4B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  <w:t>Андрея</w:t>
      </w:r>
      <w:proofErr w:type="spellEnd"/>
      <w:r w:rsidR="003805A8" w:rsidRPr="007C4B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  <w:t xml:space="preserve"> </w:t>
      </w:r>
      <w:proofErr w:type="spellStart"/>
      <w:r w:rsidR="003805A8" w:rsidRPr="007C4B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  <w:t>Крупинського</w:t>
      </w:r>
      <w:proofErr w:type="spellEnd"/>
      <w:r w:rsidR="008359BC" w:rsidRPr="007C4B57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val="uk-UA" w:eastAsia="uk-UA"/>
        </w:rPr>
        <w:t xml:space="preserve">, </w:t>
      </w:r>
      <w:r w:rsidR="008359BC" w:rsidRPr="007C4B5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кандидат педагогічних наук</w:t>
      </w:r>
      <w:r w:rsidR="00E67394" w:rsidRPr="007C4B57">
        <w:rPr>
          <w:rFonts w:ascii="Times New Roman" w:hAnsi="Times New Roman" w:cs="Times New Roman"/>
          <w:b w:val="0"/>
          <w:color w:val="auto"/>
          <w:sz w:val="24"/>
          <w:szCs w:val="24"/>
          <w:lang w:val="uk-UA"/>
        </w:rPr>
        <w:t>.</w:t>
      </w:r>
    </w:p>
    <w:p w:rsidR="008359BC" w:rsidRPr="007C4B57" w:rsidRDefault="00172A08" w:rsidP="008359BC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</w:t>
      </w:r>
      <w:r w:rsidR="008359BC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Козловський Юрій Михайлович, </w:t>
      </w:r>
      <w:r w:rsidR="008359BC" w:rsidRPr="007C4B57">
        <w:rPr>
          <w:rFonts w:ascii="Times New Roman" w:hAnsi="Times New Roman" w:cs="Times New Roman"/>
          <w:sz w:val="24"/>
          <w:szCs w:val="24"/>
        </w:rPr>
        <w:t xml:space="preserve">завідувач </w:t>
      </w:r>
      <w:hyperlink r:id="rId7" w:tooltip="Кафедра педагогіки та інноваційної освіти" w:history="1">
        <w:r w:rsidR="008359BC"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кафедри педагогіки та інноваційної освіти</w:t>
        </w:r>
      </w:hyperlink>
      <w:r w:rsidR="008359BC" w:rsidRPr="007C4B57">
        <w:rPr>
          <w:rFonts w:ascii="Times New Roman" w:hAnsi="Times New Roman" w:cs="Times New Roman"/>
          <w:sz w:val="24"/>
          <w:szCs w:val="24"/>
        </w:rPr>
        <w:t>,</w:t>
      </w:r>
    </w:p>
    <w:p w:rsidR="008359BC" w:rsidRPr="007C4B57" w:rsidRDefault="008359BC" w:rsidP="008359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8" w:tooltip="Інститут права. психології та інноваційної освіти (такої сторінки не існує)" w:history="1">
        <w:r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Інститут права, психології та інноваційної освіти</w:t>
        </w:r>
      </w:hyperlink>
      <w:r w:rsidR="00E67394" w:rsidRPr="007C4B5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tooltip="Національний університет «Львівська політехніка»" w:history="1">
        <w:r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Національного університету «Львівська політехніка»</w:t>
        </w:r>
      </w:hyperlink>
      <w:r w:rsidRPr="007C4B57">
        <w:rPr>
          <w:rFonts w:ascii="Times New Roman" w:hAnsi="Times New Roman" w:cs="Times New Roman"/>
          <w:sz w:val="24"/>
          <w:szCs w:val="24"/>
        </w:rPr>
        <w:t xml:space="preserve">, 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 педагогічних наук.</w:t>
      </w:r>
    </w:p>
    <w:p w:rsidR="008359BC" w:rsidRPr="007C4B57" w:rsidRDefault="00E67394" w:rsidP="00E6739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7C4B57">
        <w:rPr>
          <w:rFonts w:ascii="Times New Roman" w:hAnsi="Times New Roman"/>
          <w:sz w:val="24"/>
          <w:szCs w:val="24"/>
        </w:rPr>
        <w:t>4.</w:t>
      </w:r>
      <w:r w:rsidR="008359BC" w:rsidRPr="007C4B57">
        <w:rPr>
          <w:rFonts w:ascii="Times New Roman" w:hAnsi="Times New Roman"/>
          <w:sz w:val="24"/>
          <w:szCs w:val="24"/>
        </w:rPr>
        <w:t>Загрева Валентина Ярославівна, начальник управління,</w:t>
      </w:r>
    </w:p>
    <w:p w:rsidR="008359BC" w:rsidRPr="007C4B57" w:rsidRDefault="008359BC" w:rsidP="008359BC">
      <w:p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7C4B57">
        <w:rPr>
          <w:rFonts w:ascii="Times New Roman" w:hAnsi="Times New Roman"/>
          <w:sz w:val="24"/>
          <w:szCs w:val="24"/>
        </w:rPr>
        <w:t>Державна служба якості освіти у Львівській області, кандидат педагогічних наук.</w:t>
      </w:r>
    </w:p>
    <w:p w:rsidR="00172A08" w:rsidRPr="007C4B57" w:rsidRDefault="00172A08" w:rsidP="008359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94" w:rsidRPr="007C4B57" w:rsidRDefault="00E67394" w:rsidP="008359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046EB" w:rsidRPr="007C4B57" w:rsidRDefault="000046EB" w:rsidP="008359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67394" w:rsidRPr="007C4B57" w:rsidRDefault="00E67394" w:rsidP="008359BC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08" w:rsidRPr="007C4B57" w:rsidRDefault="00172A08" w:rsidP="00172A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ПОГОДЖЕНО:</w:t>
      </w:r>
    </w:p>
    <w:p w:rsidR="00172A08" w:rsidRPr="007C4B57" w:rsidRDefault="00172A08" w:rsidP="00172A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Вчена рада факультету педагогічної освіти </w:t>
      </w:r>
    </w:p>
    <w:p w:rsidR="00172A08" w:rsidRPr="007C4B57" w:rsidRDefault="00172A08" w:rsidP="00172A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4B5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№ 7 від 26 травня 2020р.</w:t>
      </w:r>
    </w:p>
    <w:p w:rsidR="00172A08" w:rsidRPr="007C4B57" w:rsidRDefault="00172A08" w:rsidP="00172A0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67394" w:rsidRPr="007C4B57" w:rsidRDefault="00172A08" w:rsidP="00E67394">
      <w:pPr>
        <w:spacing w:after="0" w:line="240" w:lineRule="auto"/>
        <w:ind w:left="567"/>
        <w:jc w:val="both"/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</w:pPr>
      <w:r w:rsidRPr="007C4B5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Декан факультету педагогічної освіти</w:t>
      </w:r>
      <w:r w:rsidRPr="007C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доц. </w:t>
      </w:r>
      <w:proofErr w:type="spellStart"/>
      <w:r w:rsidRPr="007C4B57">
        <w:rPr>
          <w:rFonts w:ascii="Times New Roman" w:eastAsia="Times New Roman" w:hAnsi="Times New Roman" w:cs="Times New Roman"/>
          <w:sz w:val="28"/>
          <w:szCs w:val="28"/>
          <w:lang w:eastAsia="ru-RU"/>
        </w:rPr>
        <w:t>Герцюк</w:t>
      </w:r>
      <w:proofErr w:type="spellEnd"/>
      <w:r w:rsidRPr="007C4B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Д.Д.</w:t>
      </w:r>
      <w:r w:rsidR="00E67394" w:rsidRPr="007C4B57">
        <w:rPr>
          <w:rFonts w:ascii="Times New Roman" w:eastAsia="Calibri" w:hAnsi="Times New Roman" w:cs="Times New Roman"/>
          <w:b/>
          <w:spacing w:val="20"/>
          <w:sz w:val="24"/>
          <w:szCs w:val="24"/>
          <w:lang w:eastAsia="en-US"/>
        </w:rPr>
        <w:br w:type="page"/>
      </w:r>
    </w:p>
    <w:p w:rsidR="00172A08" w:rsidRPr="007C4B57" w:rsidRDefault="00172A08" w:rsidP="00172A08">
      <w:pPr>
        <w:spacing w:after="0" w:line="240" w:lineRule="auto"/>
        <w:ind w:right="-143"/>
        <w:rPr>
          <w:rFonts w:ascii="Times New Roman" w:eastAsia="Calibri" w:hAnsi="Times New Roman" w:cs="Times New Roman"/>
          <w:b/>
          <w:spacing w:val="20"/>
          <w:sz w:val="28"/>
          <w:szCs w:val="28"/>
          <w:lang w:eastAsia="en-US"/>
        </w:rPr>
      </w:pPr>
    </w:p>
    <w:p w:rsidR="00172A08" w:rsidRPr="007C4B57" w:rsidRDefault="00172A08" w:rsidP="00172A0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C4B57">
        <w:rPr>
          <w:rFonts w:ascii="Times New Roman" w:eastAsia="Calibri" w:hAnsi="Times New Roman" w:cs="Times New Roman"/>
          <w:b/>
          <w:spacing w:val="20"/>
          <w:sz w:val="28"/>
          <w:szCs w:val="28"/>
        </w:rPr>
        <w:t>І. ОСВІТНЯ СКЛАДОВА ОСВІТНЬО-НАУКОВОЇ ПРОГРАМИ</w:t>
      </w:r>
    </w:p>
    <w:p w:rsidR="00172A08" w:rsidRPr="007C4B57" w:rsidRDefault="00172A08" w:rsidP="00172A0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  <w:r w:rsidRPr="007C4B57">
        <w:rPr>
          <w:rFonts w:ascii="Times New Roman" w:eastAsia="Calibri" w:hAnsi="Times New Roman" w:cs="Times New Roman"/>
          <w:b/>
          <w:spacing w:val="20"/>
          <w:sz w:val="28"/>
          <w:szCs w:val="28"/>
        </w:rPr>
        <w:t>1. Профіль освітнь</w:t>
      </w:r>
      <w:r w:rsidR="00127CFF" w:rsidRPr="007C4B57">
        <w:rPr>
          <w:rFonts w:ascii="Times New Roman" w:eastAsia="Calibri" w:hAnsi="Times New Roman" w:cs="Times New Roman"/>
          <w:b/>
          <w:spacing w:val="20"/>
          <w:sz w:val="28"/>
          <w:szCs w:val="28"/>
        </w:rPr>
        <w:t>ої програми зі спеціальності 011</w:t>
      </w:r>
      <w:r w:rsidRPr="007C4B57">
        <w:rPr>
          <w:rFonts w:ascii="Times New Roman" w:eastAsia="Calibri" w:hAnsi="Times New Roman" w:cs="Times New Roman"/>
          <w:b/>
          <w:spacing w:val="20"/>
          <w:sz w:val="28"/>
          <w:szCs w:val="28"/>
        </w:rPr>
        <w:t xml:space="preserve"> «</w:t>
      </w:r>
      <w:r w:rsidR="00127CFF" w:rsidRPr="007C4B57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</w:rPr>
        <w:t>Освітні, педагогічні науки</w:t>
      </w:r>
      <w:r w:rsidRPr="007C4B57">
        <w:rPr>
          <w:rFonts w:ascii="Times New Roman" w:eastAsia="Calibri" w:hAnsi="Times New Roman" w:cs="Times New Roman"/>
          <w:b/>
          <w:spacing w:val="20"/>
          <w:sz w:val="28"/>
          <w:szCs w:val="28"/>
        </w:rPr>
        <w:t>»</w:t>
      </w:r>
    </w:p>
    <w:p w:rsidR="000046EB" w:rsidRPr="007C4B57" w:rsidRDefault="000046EB" w:rsidP="00172A0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0046EB" w:rsidRPr="007C4B57" w:rsidRDefault="000046EB" w:rsidP="00172A0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Specialty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Training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Programme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«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Educational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Pedagogical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Sciеnces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»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for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Doctors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Philosophy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in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Field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of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6EB" w:rsidRPr="007C4B57" w:rsidRDefault="000046EB" w:rsidP="00172A0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57">
        <w:rPr>
          <w:rFonts w:ascii="Times New Roman" w:hAnsi="Times New Roman" w:cs="Times New Roman"/>
          <w:b/>
          <w:sz w:val="28"/>
          <w:szCs w:val="28"/>
        </w:rPr>
        <w:t xml:space="preserve">01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Education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/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Pedagogy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046EB" w:rsidRPr="007C4B57" w:rsidRDefault="000046EB" w:rsidP="00172A08">
      <w:pPr>
        <w:spacing w:after="0"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Specialty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011 «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Educational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Pedagogical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Sciеnces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>»</w:t>
      </w:r>
    </w:p>
    <w:p w:rsidR="000046EB" w:rsidRPr="007C4B57" w:rsidRDefault="000046EB" w:rsidP="00172A08">
      <w:pPr>
        <w:spacing w:after="0" w:line="240" w:lineRule="auto"/>
        <w:ind w:right="-143"/>
        <w:jc w:val="center"/>
        <w:rPr>
          <w:rFonts w:ascii="Times New Roman" w:eastAsia="Calibri" w:hAnsi="Times New Roman" w:cs="Times New Roman"/>
          <w:b/>
          <w:spacing w:val="20"/>
          <w:sz w:val="28"/>
          <w:szCs w:val="28"/>
        </w:rPr>
      </w:pPr>
    </w:p>
    <w:p w:rsidR="00172A08" w:rsidRPr="007C4B57" w:rsidRDefault="00172A08" w:rsidP="00172A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p w:rsidR="00172A08" w:rsidRPr="007C4B57" w:rsidRDefault="00172A08" w:rsidP="00172A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6"/>
          <w:szCs w:val="6"/>
        </w:rPr>
      </w:pPr>
    </w:p>
    <w:tbl>
      <w:tblPr>
        <w:tblW w:w="10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4A0"/>
      </w:tblPr>
      <w:tblGrid>
        <w:gridCol w:w="2781"/>
        <w:gridCol w:w="7569"/>
      </w:tblGrid>
      <w:tr w:rsidR="00172A08" w:rsidRPr="007C4B57" w:rsidTr="00172A0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 – Загальна інформація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Повна назва закладу вищої освіти та структурного підрозділу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Львівський національний університет імені Івана Франка</w:t>
            </w:r>
          </w:p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Факультет педагогічної освіти</w:t>
            </w:r>
          </w:p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Кафедра</w:t>
            </w:r>
            <w:r w:rsidR="00127CFF"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27CFF" w:rsidRPr="007C4B57">
              <w:rPr>
                <w:rFonts w:ascii="Times New Roman" w:eastAsia="Times New Roman" w:hAnsi="Times New Roman"/>
                <w:sz w:val="24"/>
                <w:szCs w:val="24"/>
              </w:rPr>
              <w:t>педагогіки та педагогіки вищої школи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Ступінь вищої освіти та назва кваліфікації мовою оригіналу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ступінь – доктор філософії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Офіційна назва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освітньо-наукової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програми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 w:rsidP="00127CFF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Освітньо-наукова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програма «</w:t>
            </w:r>
            <w:r w:rsidR="00127CFF" w:rsidRPr="007C4B57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Освітні, педагогічні науки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Тип диплому та обсяг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освітньо-наукової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програми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Диплом </w:t>
            </w:r>
            <w:r w:rsidR="00127CFF"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доктора філософії, одиничний, 40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кредити ЄКТС,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термін навчання 4 роки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Наявність акредитації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------------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Цикл/рівень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FQ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EHEA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–третій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цикл, 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EQF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LLL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8 рівень / НРК України – 8 рівень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Передумови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Наявність освітнього ступеня магістра та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освітньо-кваліфіаційного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рівня спеціаліста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Мова(и) викладання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A33314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Українська</w:t>
            </w:r>
            <w:r w:rsidR="00172A08"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Термін дії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освітньо-наукової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програми</w:t>
            </w:r>
          </w:p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Відповідна редакція ОНП програми (зі змінами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доповненнями) вводиться в дію з 1 вересня 2020 року(до наступного планового оновлення, не перевищуючи періоду акредитації)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Інтернет-адреса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постійного розміщення опису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освітньо-наукової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програми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FC5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="00172A08" w:rsidRPr="007C4B5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https://pedagogy.lnu.edu.ua/academics/postgraduates</w:t>
              </w:r>
            </w:hyperlink>
          </w:p>
          <w:p w:rsidR="00172A08" w:rsidRPr="007C4B57" w:rsidRDefault="00FC595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="00172A08" w:rsidRPr="007C4B57">
                <w:rPr>
                  <w:rStyle w:val="a3"/>
                  <w:rFonts w:ascii="Times New Roman" w:eastAsia="Times New Roman" w:hAnsi="Times New Roman" w:cs="Times New Roman"/>
                  <w:color w:val="auto"/>
                  <w:sz w:val="24"/>
                  <w:szCs w:val="24"/>
                </w:rPr>
                <w:t>https://aspirantura.lnu.edu.ua/documents/</w:t>
              </w:r>
            </w:hyperlink>
          </w:p>
        </w:tc>
      </w:tr>
      <w:tr w:rsidR="00172A08" w:rsidRPr="007C4B57" w:rsidTr="00172A0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– Мета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освітньо-наукової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програми</w:t>
            </w:r>
          </w:p>
        </w:tc>
      </w:tr>
      <w:tr w:rsidR="00172A08" w:rsidRPr="007C4B57" w:rsidTr="00172A0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382F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 – забезпечення умов для підготовки </w:t>
            </w:r>
            <w:r w:rsidR="002C382F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висококваліфікованого, конкурентоспроможного, інтегрованого до міжнародної академічної спільноти фахівця, здатного здійснювати дослідницько-інноваційну й професійно-педагогічну діяльність у галузі знань 01 Освіта/Педагогіка. </w:t>
            </w:r>
          </w:p>
          <w:p w:rsidR="00172A08" w:rsidRPr="007C4B57" w:rsidRDefault="000046EB" w:rsidP="002C382F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t xml:space="preserve"> </w:t>
            </w:r>
          </w:p>
        </w:tc>
      </w:tr>
      <w:tr w:rsidR="00172A08" w:rsidRPr="007C4B57" w:rsidTr="00172A0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3 - Характеристика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освітньо-наукової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програми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Предметна область (галузь знань, спеціальність)</w:t>
            </w:r>
          </w:p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Галузь знань</w:t>
            </w:r>
            <w:r w:rsidRPr="007C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:01 Освіта / Педагогіка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</w:rPr>
              <w:t>Спеціальність</w:t>
            </w:r>
            <w:r w:rsidRPr="007C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: </w:t>
            </w:r>
            <w:r w:rsidR="002C382F" w:rsidRPr="007C4B57">
              <w:rPr>
                <w:rFonts w:ascii="Times New Roman" w:hAnsi="Times New Roman" w:cs="Times New Roman"/>
              </w:rPr>
              <w:t>спеціальність 011 – Освітні, педагогічні науки.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B57">
              <w:rPr>
                <w:rFonts w:ascii="Times New Roman" w:hAnsi="Times New Roman" w:cs="Times New Roman"/>
                <w:i/>
                <w:sz w:val="24"/>
                <w:szCs w:val="24"/>
              </w:rPr>
              <w:t>Об’єкт вивчення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2C382F" w:rsidRPr="007C4B57">
              <w:t xml:space="preserve"> </w:t>
            </w:r>
            <w:r w:rsidR="002C382F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системи освіти; теорії, освітні концепції, наукові підходи до модернізації освіти; освітні процеси у формальній і неформальній освіті; узагальнений </w:t>
            </w:r>
            <w:proofErr w:type="spellStart"/>
            <w:r w:rsidR="002C382F" w:rsidRPr="007C4B57">
              <w:rPr>
                <w:rFonts w:ascii="Times New Roman" w:hAnsi="Times New Roman" w:cs="Times New Roman"/>
                <w:sz w:val="24"/>
                <w:szCs w:val="24"/>
              </w:rPr>
              <w:t>історикопедагогічний</w:t>
            </w:r>
            <w:proofErr w:type="spellEnd"/>
            <w:r w:rsidR="002C382F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досвід минулого і сучасності, висвітлений у педагогічних теоріях, концепціях, контекстних (професійно орієнтованих) практиках; розробка теоретико-методологічних засад педагогічного дослідження; конструювання дизайну дослідження з освітньої проблематики; </w:t>
            </w:r>
            <w:r w:rsidR="002C382F" w:rsidRPr="007C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проведення дослідження на засадах академічної доброчесності; провадження науково-дослідницької, педагогічної діяльності, в тому числі навчально-методичної, </w:t>
            </w:r>
            <w:proofErr w:type="spellStart"/>
            <w:r w:rsidR="002C382F" w:rsidRPr="007C4B57">
              <w:rPr>
                <w:rFonts w:ascii="Times New Roman" w:hAnsi="Times New Roman" w:cs="Times New Roman"/>
                <w:sz w:val="24"/>
                <w:szCs w:val="24"/>
              </w:rPr>
              <w:t>освітньо-проєктної</w:t>
            </w:r>
            <w:proofErr w:type="spellEnd"/>
            <w:r w:rsidR="002C382F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і просвітницької видів педагогічної діяльності, на засадах наукової та професійної етики; розроблення і практичне втілення в освітній процес новітніх педагогічних технологій, активних та інтерактивних форм, методів навчання і виховання; забезпечення якістю освітньої діяльності у вищій школі; спілкування на засадах співпраці і рівноправної взаємодії між суб’єктами освітнього середовища. 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E619A2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i/>
                <w:sz w:val="24"/>
                <w:szCs w:val="24"/>
              </w:rPr>
              <w:t>Цілі навчання: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на основі опанування досягненнями національної і європейської педагогічної науки та ознайомлення з провідними освітніми практиками сформувати у здобувачів певні компетентності, які є достатніми для виконання оригінальних наукових досліджень з науковою новизною, теоретичним, методичним та практичним значенням; формування та розвиток у майбутніх докторів філософії аксіологічних орієнтацій, професійно-наукової, </w:t>
            </w:r>
            <w:proofErr w:type="spellStart"/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>мовнокомунікативної</w:t>
            </w:r>
            <w:proofErr w:type="spellEnd"/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, методологічної культури наукового пошуку; технологічних здатностей, навичок критичного мислення, педагогічної майстерності та інших </w:t>
            </w:r>
            <w:proofErr w:type="spellStart"/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>, необхідних для професійної комунікації, наукової та викладацької діяльності, кар’єрного зростання у галузі педагогічної освіти з урахуванням загальнолюдських цінностей та етики науковця.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i/>
                <w:sz w:val="24"/>
                <w:szCs w:val="24"/>
              </w:rPr>
              <w:t>Теоретичний зміст предметної області</w:t>
            </w:r>
            <w:r w:rsidRPr="007C4B57">
              <w:rPr>
                <w:rFonts w:ascii="Times New Roman" w:hAnsi="Times New Roman" w:cs="Times New Roman"/>
                <w:iCs/>
                <w:sz w:val="24"/>
                <w:szCs w:val="24"/>
              </w:rPr>
              <w:t>:</w:t>
            </w:r>
            <w:r w:rsidR="00E619A2" w:rsidRPr="007C4B57">
              <w:t xml:space="preserve"> </w:t>
            </w:r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прикладні наукові дослідження, що матимуть широке практичне застосування. Методологічні засади та теоретичні основи освітніх/педагогічних наук, психологічних досліджень та досліджень інших галузей знань, які забезпечують формування загальнонаукової компетентності здобувачів вищої освіти третього рівня зі спеціальності 011 «Освітні, педагогічні науки» й спрямовані на розвиток у здобувачів системного наукового світогляду, загальних та спеціальних </w:t>
            </w:r>
            <w:proofErr w:type="spellStart"/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i/>
                <w:sz w:val="24"/>
                <w:szCs w:val="24"/>
              </w:rPr>
              <w:t>Методи, методики та технології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успішне застосування теоретичних та емпіричних методів педагогічного дослідження, що взаємодоповнюють один одного. Крім того, сформованість навичок використання </w:t>
            </w:r>
            <w:proofErr w:type="spellStart"/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>проєктних</w:t>
            </w:r>
            <w:proofErr w:type="spellEnd"/>
            <w:r w:rsidR="00E619A2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технологій для організації та проведення експерименту та таких емпіричних методів як математична та статистична обробка отриманих експериментальних даних, 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технології презентації результатів дослідження.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B57">
              <w:rPr>
                <w:rFonts w:ascii="Times New Roman" w:hAnsi="Times New Roman" w:cs="Times New Roman"/>
                <w:i/>
                <w:sz w:val="24"/>
                <w:szCs w:val="24"/>
              </w:rPr>
              <w:t>Інструменти й обладнання: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мультимедійне обладнання, сучасні універсальні та спеціалізовані інформаційні ресурси та програмні продукти; бібліотечні ресурси та технології, зокрема електронні.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Орієнтація </w:t>
            </w:r>
          </w:p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освітньо-наукової</w:t>
            </w:r>
            <w:proofErr w:type="spellEnd"/>
          </w:p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програми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Освітньо-наукова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, доктор філософії: ОНП доктора філософії має дослідницьку та прикладну орієнтацію, що зумовлює проведення наукових досліджень, продукування нових знань через розробку ефективних механізмів функціонування й розвитку педагогічних систем на основі інноваційних результатів міжгалузевих досліджень; практичне застосування результатів досліджень на національному та регіональному рівнях.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Основний фокус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освітньо-наукової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програми 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pStyle w:val="Default0"/>
              <w:spacing w:line="276" w:lineRule="auto"/>
              <w:jc w:val="both"/>
              <w:rPr>
                <w:color w:val="auto"/>
                <w:szCs w:val="28"/>
              </w:rPr>
            </w:pPr>
            <w:r w:rsidRPr="007C4B57">
              <w:rPr>
                <w:color w:val="auto"/>
                <w:szCs w:val="28"/>
              </w:rPr>
              <w:t>Набуття необхідних дослідницьких навичок для наукової кар’єри та навичок навчання профільних дисциплін, що передбачає:</w:t>
            </w:r>
          </w:p>
          <w:p w:rsidR="00172A08" w:rsidRPr="007C4B57" w:rsidRDefault="00172A08">
            <w:pPr>
              <w:numPr>
                <w:ilvl w:val="0"/>
                <w:numId w:val="8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поглиблення теоретичної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загальноуніверситетської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та фахової підготовки;</w:t>
            </w:r>
          </w:p>
          <w:p w:rsidR="00172A08" w:rsidRPr="007C4B57" w:rsidRDefault="00172A08">
            <w:pPr>
              <w:numPr>
                <w:ilvl w:val="0"/>
                <w:numId w:val="8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оволодіння </w:t>
            </w:r>
            <w:r w:rsidRPr="007C4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загальною та спеціальною методологією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наукового пізнання;</w:t>
            </w:r>
          </w:p>
          <w:p w:rsidR="00172A08" w:rsidRPr="007C4B57" w:rsidRDefault="00172A08">
            <w:pPr>
              <w:numPr>
                <w:ilvl w:val="0"/>
                <w:numId w:val="8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ґрунтовне вивчення методологічних, теоретичних і методичних 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засад</w:t>
            </w:r>
            <w:r w:rsidR="004D29BF"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педагогічної науки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172A08" w:rsidRPr="007C4B57" w:rsidRDefault="00172A08">
            <w:pPr>
              <w:numPr>
                <w:ilvl w:val="0"/>
                <w:numId w:val="8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здобуття теоретичних знань, умінь, навичок та інших складових загальнонаукових і спеціальних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, достатніх для продукування нових ідей, розв’язання комплексних проблем </w:t>
            </w:r>
            <w:r w:rsidR="00FD5801"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теорії та мето</w:t>
            </w:r>
            <w:r w:rsidR="004D29BF"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дики педагогіки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A08" w:rsidRPr="007C4B57" w:rsidRDefault="00172A08">
            <w:pPr>
              <w:numPr>
                <w:ilvl w:val="0"/>
                <w:numId w:val="8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опанування науково-дослідними навичками організації, планування та прогнозування </w:t>
            </w:r>
            <w:r w:rsidRPr="007C4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результатів наукових досліджень,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здійснення </w:t>
            </w:r>
            <w:r w:rsidRPr="007C4B57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наукової аналітичної та експериментальної діяльності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72A08" w:rsidRPr="007C4B57" w:rsidRDefault="00172A08">
            <w:pPr>
              <w:numPr>
                <w:ilvl w:val="0"/>
                <w:numId w:val="8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розвиток навичок у написанні та оформленні результатів наукових робіт;</w:t>
            </w:r>
          </w:p>
          <w:p w:rsidR="00172A08" w:rsidRPr="007C4B57" w:rsidRDefault="00172A08">
            <w:pPr>
              <w:numPr>
                <w:ilvl w:val="0"/>
                <w:numId w:val="8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формування культури наукової діяльності;</w:t>
            </w:r>
          </w:p>
          <w:p w:rsidR="00172A08" w:rsidRPr="007C4B57" w:rsidRDefault="00172A08">
            <w:pPr>
              <w:numPr>
                <w:ilvl w:val="0"/>
                <w:numId w:val="8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підвищення рівня професійної й викладацької майстерності;</w:t>
            </w:r>
          </w:p>
          <w:p w:rsidR="00172A08" w:rsidRPr="007C4B57" w:rsidRDefault="00172A08">
            <w:pPr>
              <w:numPr>
                <w:ilvl w:val="0"/>
                <w:numId w:val="8"/>
              </w:numPr>
              <w:tabs>
                <w:tab w:val="left" w:pos="466"/>
                <w:tab w:val="left" w:pos="851"/>
              </w:tabs>
              <w:spacing w:after="0" w:line="240" w:lineRule="auto"/>
              <w:ind w:left="0" w:firstLine="2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набуття знань і практичних навичок 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викл</w:t>
            </w:r>
            <w:r w:rsidR="00FD5801"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адацької діяльності в галузі  </w:t>
            </w:r>
            <w:r w:rsidR="004D29BF"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освіти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, підвищення кваліфікації, підготовки та перепідготовки педагогічних кадрів тощо.</w:t>
            </w:r>
          </w:p>
          <w:p w:rsidR="00172A08" w:rsidRPr="007C4B57" w:rsidRDefault="00172A08" w:rsidP="00FD5801">
            <w:pPr>
              <w:pStyle w:val="Default0"/>
              <w:spacing w:line="276" w:lineRule="auto"/>
              <w:jc w:val="both"/>
              <w:rPr>
                <w:color w:val="auto"/>
                <w:szCs w:val="28"/>
              </w:rPr>
            </w:pPr>
            <w:r w:rsidRPr="007C4B57">
              <w:rPr>
                <w:i/>
                <w:iCs/>
                <w:color w:val="auto"/>
                <w:szCs w:val="28"/>
              </w:rPr>
              <w:t>Ключові слова</w:t>
            </w:r>
            <w:r w:rsidRPr="007C4B57">
              <w:rPr>
                <w:color w:val="auto"/>
                <w:szCs w:val="28"/>
              </w:rPr>
              <w:t xml:space="preserve">: </w:t>
            </w:r>
            <w:r w:rsidR="00FD5801" w:rsidRPr="007C4B57">
              <w:rPr>
                <w:color w:val="auto"/>
              </w:rPr>
              <w:t xml:space="preserve">методологія науки, дидактика, теорія і методика виховання, історія педагогіки, педагогічна компаративістика, освітня </w:t>
            </w:r>
            <w:proofErr w:type="spellStart"/>
            <w:r w:rsidR="00FD5801" w:rsidRPr="007C4B57">
              <w:rPr>
                <w:color w:val="auto"/>
              </w:rPr>
              <w:t>інноватика</w:t>
            </w:r>
            <w:proofErr w:type="spellEnd"/>
            <w:r w:rsidR="00FD5801" w:rsidRPr="007C4B57">
              <w:rPr>
                <w:color w:val="auto"/>
              </w:rPr>
              <w:t xml:space="preserve">, освітня </w:t>
            </w:r>
            <w:proofErr w:type="spellStart"/>
            <w:r w:rsidR="00FD5801" w:rsidRPr="007C4B57">
              <w:rPr>
                <w:color w:val="auto"/>
              </w:rPr>
              <w:t>проєктна</w:t>
            </w:r>
            <w:proofErr w:type="spellEnd"/>
            <w:r w:rsidR="00FD5801" w:rsidRPr="007C4B57">
              <w:rPr>
                <w:color w:val="auto"/>
              </w:rPr>
              <w:t xml:space="preserve"> діяльність, теорія і методика викладання, полікультурна комунікація, якість освітньої діяльності.</w:t>
            </w:r>
          </w:p>
        </w:tc>
      </w:tr>
      <w:tr w:rsidR="00172A08" w:rsidRPr="007C4B57" w:rsidTr="00172A08">
        <w:trPr>
          <w:trHeight w:val="68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Особливості програми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7DF0" w:rsidRPr="007C4B57" w:rsidRDefault="002A7DF0">
            <w:pPr>
              <w:widowControl w:val="0"/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ОНП спрямована на реалізацію стратегічних і операційних цілей і завдань Львівського регіону (розвиток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інноваційно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орієнтованих напрямів науки та освіти, підвищення конкурентоспроможності кадрового потенціалу регіону, наближення якості вищої освіти до європейських стандартів). </w:t>
            </w:r>
          </w:p>
          <w:p w:rsidR="004D29BF" w:rsidRPr="007C4B57" w:rsidRDefault="002A7DF0">
            <w:pPr>
              <w:widowControl w:val="0"/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Втілення зазначених цілей і завдань забезпечується ОНП «011 Освітні, педагогічні науки» Львівсь</w:t>
            </w:r>
            <w:r w:rsidR="00306929" w:rsidRPr="007C4B57">
              <w:rPr>
                <w:rFonts w:ascii="Times New Roman" w:hAnsi="Times New Roman" w:cs="Times New Roman"/>
                <w:sz w:val="24"/>
                <w:szCs w:val="24"/>
              </w:rPr>
              <w:t>кого національного університету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імені Івана Франка, яка передбачає освітній та науковий складники. Освітній складник </w:t>
            </w:r>
            <w:r w:rsidR="00306929" w:rsidRPr="007C4B57">
              <w:rPr>
                <w:rFonts w:ascii="Times New Roman" w:hAnsi="Times New Roman" w:cs="Times New Roman"/>
                <w:sz w:val="24"/>
                <w:szCs w:val="24"/>
              </w:rPr>
              <w:t>програми реалізується впродовж 8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семестрів, обсягом 40 кредитів згідно індивідуального плану здобувача. Науковий складник реалізується впродовж 4 років навчання згідно індивідуального плану здобувача.</w:t>
            </w:r>
          </w:p>
          <w:p w:rsidR="004D29BF" w:rsidRPr="007C4B57" w:rsidRDefault="004D29BF">
            <w:pPr>
              <w:widowControl w:val="0"/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Зміст освітнього складника визначається навчальним планом, який містить обов’язкові і вибіркові навчальні дисципліни, науково-викладацьку практику, вимірювані в кредитах ЄКТС. </w:t>
            </w:r>
          </w:p>
          <w:p w:rsidR="004D29BF" w:rsidRPr="007C4B57" w:rsidRDefault="004D29BF">
            <w:pPr>
              <w:widowControl w:val="0"/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Зміст наукового складника визначається конкретними видами діяльності (аналізування матеріалу з теми дослідження, затвердження теми, написання розділів і параграфів дисертації, наукових статей і тез, підготовка доповідей на конференції і виступи на них тощо), котрі забезпечують якість написання дисертації і апробації результатів дослідження. </w:t>
            </w:r>
          </w:p>
          <w:p w:rsidR="004D29BF" w:rsidRPr="007C4B57" w:rsidRDefault="004D29BF">
            <w:pPr>
              <w:widowControl w:val="0"/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Особливості ОНП полягають у тому, що успішне засвоєння її змісту допомагає фахівцеві набути ступеню вищої освіти доктор філософії в галузі 01 Освіта / Педагогіка. Ця програма поєднує навчання і дослідження здобувача, поглиблює розуміння наукової новизни і практичної значущості результатів дослідження, дотримання академічної доброчесності, сприяє розвитку наукового потенціалу педагогічних працівників, активізує виявлення авторських підходів до розв’язання педагогічних проблем і реалізації освітніх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2A08" w:rsidRPr="007C4B57" w:rsidRDefault="00172A08">
            <w:pPr>
              <w:widowControl w:val="0"/>
              <w:shd w:val="clear" w:color="auto" w:fill="FFFFFF"/>
              <w:tabs>
                <w:tab w:val="left" w:pos="245"/>
              </w:tabs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Програма надає можливість проходження наукового стажування у вітчизняних та іноземних закладах вищої освіти, з якими укладено угоди про академічну мобільність та співпрацю у сфері наукових досліджень.</w:t>
            </w:r>
          </w:p>
        </w:tc>
      </w:tr>
      <w:tr w:rsidR="00172A08" w:rsidRPr="007C4B57" w:rsidTr="00172A0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– Придатність випускників 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до працевлаштування та подальшого навчання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Придатність до працевлаштування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A7DF0" w:rsidRPr="007C4B57" w:rsidRDefault="002A7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Види економічної діяльності (за КВЕД 009:2010): </w:t>
            </w:r>
          </w:p>
          <w:p w:rsidR="002A7DF0" w:rsidRPr="007C4B57" w:rsidRDefault="002A7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Код 85.42 – вища освіта </w:t>
            </w:r>
          </w:p>
          <w:p w:rsidR="002A7DF0" w:rsidRPr="007C4B57" w:rsidRDefault="002A7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Випускники можуть працювати (згідно з Національним класифікатором професій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003:2010): </w:t>
            </w:r>
          </w:p>
          <w:p w:rsidR="002A7DF0" w:rsidRPr="007C4B57" w:rsidRDefault="002A7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2310.1 Професори та доценти; </w:t>
            </w:r>
          </w:p>
          <w:p w:rsidR="002A7DF0" w:rsidRPr="007C4B57" w:rsidRDefault="002A7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2310.2 Інші викладачі університетів та вищих навчальних закладів; </w:t>
            </w:r>
          </w:p>
          <w:p w:rsidR="002A7DF0" w:rsidRPr="007C4B57" w:rsidRDefault="002A7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2320 Викладачі професійних навчально-виховних закладів, професійно-технічних навчальних закладів;</w:t>
            </w:r>
          </w:p>
          <w:p w:rsidR="002A7DF0" w:rsidRPr="007C4B57" w:rsidRDefault="002A7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2351.1 Наукові співробітники (методи навчання); </w:t>
            </w:r>
          </w:p>
          <w:p w:rsidR="002A7DF0" w:rsidRPr="007C4B57" w:rsidRDefault="002A7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2351.2 Інші професіонали в галузі методів навчання; </w:t>
            </w:r>
          </w:p>
          <w:p w:rsidR="002A7DF0" w:rsidRPr="007C4B57" w:rsidRDefault="002A7DF0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2359.1 Інші наукові співробітники в галузі навчання; </w:t>
            </w:r>
          </w:p>
          <w:p w:rsidR="00172A08" w:rsidRPr="007C4B57" w:rsidRDefault="002A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2359.2 Інші професіонали в галузі навчання.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bookmarkStart w:id="0" w:name="_gjdgxs"/>
            <w:bookmarkEnd w:id="0"/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Подальше навчання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Доктор філософії може продовжувати освіту за науковим рівнем доктора наук, а також підвищувати кваліфікацію та отримувати додаткову післядипломну освіту</w:t>
            </w:r>
            <w:r w:rsidR="002A7DF0"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2A08" w:rsidRPr="007C4B57" w:rsidTr="00172A0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 – Викладання та оцінювання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Викладання  та навчання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програмі використовуються проблемно-орієнтоване навчання, навчання на основі наукових досліджень, самонавчання, що спрямовано на отримання аспірантами глибоких знань, навичок генерування нових ідей. Освітній процес базується на принципі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студентоцентрованого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підходу у навчанні та проведенні наукових досліджень з урахуваннями тем дисертаційних робіт і наукових інтересів аспірантів. 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Викладання проводиться у вигляді лекцій, практичних і семінарських занять, педагогічного практикуму. Значна частина роботи проходить на рівні індивідуальних консультацій з науковим керівником, науковою спільнотою, виконання власного наукового дослідження (підготовка дисертації), написання наукових статей, апробації одержаних результатів.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Оцінювання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72A08" w:rsidRPr="007C4B57" w:rsidRDefault="00172A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Оцінювання навчальних досягнень здобувачів здійснюється за системою ЄКТС (100-бальна шкала) та національною шкалою оцінювання.</w:t>
            </w:r>
          </w:p>
          <w:p w:rsidR="00172A08" w:rsidRPr="007C4B57" w:rsidRDefault="00172A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Поточний контроль – усне та письмове опитування, контрольні роботи, захист індивідуальних завдань.</w:t>
            </w:r>
          </w:p>
          <w:p w:rsidR="00172A08" w:rsidRPr="007C4B57" w:rsidRDefault="00172A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Підсумковий контроль – іспити та заліки з урахуванням накопичених балів поточного контролю.</w:t>
            </w:r>
          </w:p>
          <w:p w:rsidR="00172A08" w:rsidRPr="007C4B57" w:rsidRDefault="00172A08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Державна атестація – публічний захист дисертаційної роботи.</w:t>
            </w:r>
          </w:p>
        </w:tc>
      </w:tr>
      <w:tr w:rsidR="00172A08" w:rsidRPr="007C4B57" w:rsidTr="00172A0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 – Програмні компетентності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Інтегральна компетентність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2A7DF0" w:rsidP="002A7DF0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b/>
                <w:sz w:val="24"/>
                <w:szCs w:val="24"/>
              </w:rPr>
              <w:t>ІК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– здатність на основі концептуальних методологічних знань здійснювати аналіз педагогічних явищ, процесів, конструювати нові цілісні знання, ідеї, розв’язувати комплексні проблеми в науково-дослідницькій, педагогічній діяльності з урахуванням національного і світового досвіду.</w:t>
            </w:r>
          </w:p>
        </w:tc>
      </w:tr>
      <w:tr w:rsidR="00172A08" w:rsidRPr="007C4B57" w:rsidTr="00172A08">
        <w:trPr>
          <w:trHeight w:val="405"/>
        </w:trPr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tabs>
                <w:tab w:val="left" w:pos="326"/>
              </w:tabs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компетентності (ЗК)</w:t>
            </w:r>
          </w:p>
        </w:tc>
      </w:tr>
      <w:tr w:rsidR="00172A08" w:rsidRPr="007C4B57" w:rsidTr="00172A08">
        <w:trPr>
          <w:trHeight w:val="660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Загальні компетентності (ЗК)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D7DCA" w:rsidRPr="007C4B57" w:rsidRDefault="004D7DCA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ЗК1 – здатність оволодіти загальнонауковою компетентністю, спрямованою на формування системного наукового світогляду;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ЗК</w:t>
            </w:r>
            <w:r w:rsidR="004D7DCA" w:rsidRPr="007C4B5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– здатність розкривати евристичний потенціал сучасного людинознавства; розуміти ідеї філософії освіти з урахуванням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глобалізаційних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процесів; узагальнювати досвід теоретичної рефлексії щодо актуальних освітніх проблем і ситуацій; </w:t>
            </w:r>
          </w:p>
          <w:p w:rsidR="003F1419" w:rsidRPr="007C4B57" w:rsidRDefault="004D7DCA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ЗК3</w:t>
            </w:r>
            <w:r w:rsidR="003F1419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– здатність визначати культурні смисли досліджуваного явища на засадах етичних орієнтирів конструювання наукових </w:t>
            </w:r>
            <w:proofErr w:type="spellStart"/>
            <w:r w:rsidR="003F1419" w:rsidRPr="007C4B57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="003F1419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; створювати авторські програми досліджень; </w:t>
            </w:r>
          </w:p>
          <w:p w:rsidR="003F1419" w:rsidRPr="007C4B57" w:rsidRDefault="004D7DCA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ЗК4</w:t>
            </w:r>
            <w:r w:rsidR="003F1419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– здатність використовувати в дослідницькій/професійній </w:t>
            </w:r>
            <w:r w:rsidR="003F1419" w:rsidRPr="007C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діяльності провідні засади професійної етики та академічної доброчесності, прийняті світовим науковим співтовариством; </w:t>
            </w:r>
          </w:p>
          <w:p w:rsidR="003F1419" w:rsidRPr="007C4B57" w:rsidRDefault="004D7DCA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ЗК5</w:t>
            </w:r>
            <w:r w:rsidR="003F1419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– здатність до академічної і професійної мобільності, оптимальної мовної поведінки у професійній/академічній сфері, виявлення лідерських якостей, до командної роботи та взаємодії з науковою спільнотою; </w:t>
            </w:r>
          </w:p>
          <w:p w:rsidR="003F1419" w:rsidRPr="007C4B57" w:rsidRDefault="004D7DCA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ЗК6</w:t>
            </w:r>
            <w:r w:rsidR="003F1419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– здатність сприймати, аналізувати й інтерпретувати нову освітню інформацію з наукових джерел українською/іноземними мовами, узагальнювати її та робити аргументований виклад у зв’язній формі під час апробації результатів дослідження; </w:t>
            </w:r>
          </w:p>
          <w:p w:rsidR="003F1419" w:rsidRPr="007C4B57" w:rsidRDefault="004D7DCA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ЗК7</w:t>
            </w:r>
            <w:r w:rsidR="003F1419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– здатність спілкуватися українською/іноземними мовами з урахуванням особливостей використання професійної лексики, демонструючи граматичну правильність, лексичний діапазон і соціолінгвістичну відповідність власного мовлення; </w:t>
            </w:r>
          </w:p>
          <w:p w:rsidR="003F1419" w:rsidRPr="007C4B57" w:rsidRDefault="004D7DCA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ЗК8</w:t>
            </w:r>
            <w:r w:rsidR="003F1419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– здатність розуміти загальносвітовий і національний контексти розвитку вищої (університетської) освіти, ціннісні смисли та пріоритетні напрями реформування вищої освіти в Україні та враховувати їх у практичній діяльності; </w:t>
            </w:r>
          </w:p>
          <w:p w:rsidR="003F1419" w:rsidRPr="007C4B57" w:rsidRDefault="004D7DCA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ЗК9</w:t>
            </w:r>
            <w:r w:rsidR="003F1419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– здатність проявляти творчий підхід до розробляння освітніх технологій та їх реалізації в процесі виконання посадових обов’язків наукового співробітника, науково-педагогічного працівника; </w:t>
            </w:r>
          </w:p>
          <w:p w:rsidR="004D7DCA" w:rsidRPr="007C4B57" w:rsidRDefault="004D7DCA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ЗК10 – здатність виявляти прогресивні освітні ідеї світової та вітчизняної педагогічної спадщини, порівнювати, виокремлювати цінні доробки дослідників, аналізувати їх і творчо використовувати у професійній діяльності.</w:t>
            </w:r>
          </w:p>
          <w:p w:rsidR="00172A08" w:rsidRPr="007C4B57" w:rsidRDefault="00172A08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72A08" w:rsidRPr="007C4B57" w:rsidTr="00172A08">
        <w:trPr>
          <w:trHeight w:val="286"/>
        </w:trPr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Спеціальні (фахові) компетентності (СК)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СК11 – уміння проводити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історико-педагогічний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аналіз джерельної бази досліджуваної проблеми, переосмислювати знання й досвід, представлені в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історико-педагогічному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та компаративному дискурсі, застосовувати їх у власному науково-педагогічному дослідженні, визначати перспективи творчого використання; 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СК12 – здатність популяризувати кращі здобутки педагогічної теорії й практики українського та інших народів, застосовувати їх у професійній діяльності; 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СК13 – здатність планувати, реалізовувати та коригувати послідовний процес ґрунтовного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науковопедагогічного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дослідження з логічним дотриманням відповідних наукових підходів і принципів академічної доброчесності; </w:t>
            </w:r>
          </w:p>
          <w:p w:rsidR="00792C2C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СК14 – інтегровані знання з історії педагогіки, порівняльної педагогіки,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інноватики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в галузі освіти, методології науково-педагогічного дослідження; 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СК15 – здатність розв’язувати складні комплексні проблеми в дослідницькій, інноваційній видах діяльності на засадах професійної етики; володіти вміннями розробляти наукові, освітні, грантові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проєкти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СК16 – здатність організовувати та проводити педагогічний експеримент (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констатувальний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, формувальний, контрольний етапи), здійснювати обробку даних методами математичної статистики з використанням ІКТ, генерувати нові ідеї; 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СК17 – здатність критично аналізувати, самостійно та вільно орієнтуватися в змісті педагогічної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інноватики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, сучасних освітніх технологій, застосовувати досягнення в науковій та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проєктній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діяльності й педагогічній практиці;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СК18 – знання інноваційних освітніх тенденцій і напрямів, наукових 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засад управління й забезпечення якості освіти, способів їх реалізації в практиці вищої </w:t>
            </w:r>
            <w:r w:rsidR="00812B2E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та загальної середньої 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школи; 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СК19 – здатність підвищувати рівень педагогічної майстерності, формувати індивідуальний професійний образ, виявляти лідерські якості,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проєктувати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кар’єрне зростання; 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СК20 – здатність застосовувати знання</w:t>
            </w:r>
            <w:r w:rsidR="00812B2E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з теорії та методики педагогічної діяльності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у вищій школі в процесі викладання комплексу спеціальних (фахових) дисциплін, методичній, виховній діяльності в ЗВО; 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СК21 – здатність аналізувати, створювати й ефективно використовувати навчально-методичні комплекси навчальних дисциплін, реалізовувати різні форми організації освітнього процесу в ЗВО з елементами дистанційного навчання, проводити моніторинг досягнутих результатів; 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СК22 – здатність відбирати, структурувати зміст навчального матеріалу, грамотно вибудовувати власні наукові та методичні тексти; </w:t>
            </w:r>
          </w:p>
          <w:p w:rsidR="003F1419" w:rsidRPr="007C4B57" w:rsidRDefault="003F1419" w:rsidP="003F1419">
            <w:pPr>
              <w:tabs>
                <w:tab w:val="left" w:pos="326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СК23 – здатність організовувати суб’єкт-суб’єктну взаємодію учасників освітнього процесу на засадах партнерських стосунків, формувати позитивні міжособистісні взаємини в студентському колективі, формувати корпоративну культуру й імідж ЗВО.</w:t>
            </w:r>
          </w:p>
          <w:p w:rsidR="00172A08" w:rsidRPr="007C4B57" w:rsidRDefault="00172A08">
            <w:pPr>
              <w:widowControl w:val="0"/>
              <w:tabs>
                <w:tab w:val="left" w:pos="311"/>
                <w:tab w:val="left" w:pos="476"/>
              </w:tabs>
              <w:suppressAutoHyphens/>
              <w:spacing w:after="0" w:line="240" w:lineRule="auto"/>
              <w:ind w:left="56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72A08" w:rsidRPr="007C4B57" w:rsidTr="00172A0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2A08" w:rsidRPr="007C4B57" w:rsidRDefault="00172A08">
            <w:pPr>
              <w:widowControl w:val="0"/>
              <w:numPr>
                <w:ilvl w:val="0"/>
                <w:numId w:val="10"/>
              </w:num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– Програмні результати навчання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ПРН1 – продемонструвати знання онтології, гносеології, основних напрямів історико-філософської думки, класичної та сучасної, вітчизняної і світової філософії;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ПРН2 – аналізувати філософсько-антропологічні і культурно-антропологічні чинники; застосовувати філософські принципи, поняття і категорії для обґрунтування наукових і освітніх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проєктів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, визначення соціокультурних чинників авторського дослідження;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ПРН3 – вести діалог і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полілог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на засадах професійної етики наукового співтовариства; застосовувати термінологію галузі наукового дослідження, виконувати письмовий переклад та письмовий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анотаційний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переклад текстів з дотриманням принципів академічної доброчесності;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ПРН4 – продемонструвати знання лексичних, граматичних, стилістичних структур, що є необхідними для адекватного вираження відповідних ідей та понять в авторських наукових текстах (усно та письмово);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ПРН5 – диференціювати різні типи наукових текстів, структурувати їх відповідно до існуючих вимог, прийнятих науково-видавничими спільнотами, коригувати з урахуванням вимог рецензентів;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ПРН6 – володіти типовими для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науковопедагогічної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комунікації лексико-синтаксичними моделями української та іноземних мов для вибору оптимальної мовної поведінки викладача ЗВО;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ПРН7 – продемонструвати знання концепцій розвитку «національних» моделей вищої (університетської) освіти, розуміння процесів інтеграції, сталого розвитку суспільства,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цифровізації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в освітній галузі на сучасному етапі;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ПРН8 – аналізувати змістове забезпечення освітнього процесу в ЗВО, визначати шляхи його оновлення, критично оцінювати практичне значення нововведень у вищій школі, самостійно продукувати ідеї; </w:t>
            </w:r>
          </w:p>
          <w:p w:rsidR="00406F27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ПРН9 – володіти педагогічною рефлексією для виявлення своїх ресурсних можливостей, побудови індивідуальної освітньої траєкторії,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проєктування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стратегій саморозвитку і професійного 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зростання, освіти впродовж життя;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ПРН10 – оптимізувати вибір форм, методів, технологій навчання і виховання у ЗВО з урахуванням оновлення освітніх програм, проводити моніторинг досягнутих результатів;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ПРН11 – володіти діагностичним інструментарієм моніторингу якості знань, умінь, навичок, інших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компетентностей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здобувачів освіти;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ПРН12 – продемонструвати знання концепцій та методологічних підходів у галузі педагогіки, історії педагогіки, освітньої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інноватики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, уміння виявляти суперечності та тенденції розвитку освітньої галузі;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ПРН13 – критично оцінювати існуючі системи освіти і програми виховання, досвід професійних практик, представлених в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історико-педагогічному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дискурсі;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ПРН14 – здійснювати оригінальне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історикопедагогічне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/ експериментальне/ компаративістське дослідження, оперувати різними методами й засобами дослідницької діяльності, прийомами збирання, систематизації та обробки інформації, інтерпретації отриманих результатів;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ПРН15 – застосовувати перевірені часом наукові положення представників світової та української педагогічної думки у власних дослідженнях і професійній діяльності, сприяти їх популяризації в суспільстві; </w:t>
            </w:r>
          </w:p>
          <w:p w:rsidR="00126E6C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 16 – послуговуватись нормативно-правовими й програмно-методичними документами для якісного виконання авторського дослідження і здійснення висококваліфікованої викладацької діяльності з дотриманням корпоративної культури; </w:t>
            </w:r>
          </w:p>
          <w:p w:rsidR="00172A08" w:rsidRPr="007C4B57" w:rsidRDefault="00126E6C">
            <w:pPr>
              <w:widowControl w:val="0"/>
              <w:tabs>
                <w:tab w:val="left" w:pos="236"/>
              </w:tabs>
              <w:autoSpaceDE w:val="0"/>
              <w:autoSpaceDN w:val="0"/>
              <w:adjustRightInd w:val="0"/>
              <w:spacing w:after="0" w:line="240" w:lineRule="auto"/>
              <w:ind w:left="5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ПРН17 – використовувати досягнення педагогічної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інноватики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у власній науковій та педагогічній діяльності, осмислювати теоретичну і практичну значущість освітніх нововведень, генерувати і презентувати власні інноваційні ідеї.</w:t>
            </w:r>
          </w:p>
        </w:tc>
      </w:tr>
      <w:tr w:rsidR="00172A08" w:rsidRPr="007C4B57" w:rsidTr="00172A0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2A08" w:rsidRPr="007C4B57" w:rsidRDefault="00172A08">
            <w:pPr>
              <w:widowControl w:val="0"/>
              <w:spacing w:after="0" w:line="232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8. Ресурсне забезпечення реалізації програми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Кадрове</w:t>
            </w: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br/>
              <w:t xml:space="preserve"> забезпечення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3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Керівник проектної групи (гарант освітньої програми) та науково-педагогічні працівники, які забезпечують реалізацію</w:t>
            </w:r>
            <w:r w:rsidR="00126E6C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освітньо-професійної програми, відповідають вимогам</w:t>
            </w:r>
            <w:r w:rsidR="00126E6C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Ліцензійних умов провадження освітньої діяльності закладів освіти.</w:t>
            </w:r>
          </w:p>
          <w:p w:rsidR="00172A08" w:rsidRPr="007C4B57" w:rsidRDefault="00172A08">
            <w:pPr>
              <w:widowControl w:val="0"/>
              <w:spacing w:after="0" w:line="232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Освітній процес забезпечують науково-педагогічні працівники кафедр Університету, які вчасно проходять стажування (в тому числі закордонні) для підвищення кваліфікації та набуття педагогічної та професійної майстерності, здійснюють керівництво науковою роботою аспірантів.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Матеріально-технічне забезпечення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Основними складовими навчально-матеріальної бази Університету є: аудиторії, навчальні, науково-дослідні та навчально-методичні лабораторії, кабінети, бібліотека, читальні зали, що відповідають санітарно-технічним та протипожежним нормам.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Викладання навчальних дисциплін здійснюється в лабораторіях та спеціалізованих кабінетах, які оснащені належним технічним обладнанням.</w:t>
            </w:r>
            <w:r w:rsidR="00126E6C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проведення практичних і лабораторних робіт,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інформаційного пошуку та обробки результатів досліджень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наявні спеціалізовані комп’ютерні класи Університету з необхідним програмним забезпеченням та необмеженим відкритим доступом до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Інтернет-мережі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Наявна вся необхідна соціально-побутова інфраструктура, Існують перспективні плани та можливості розвитку матеріально-технічної бази (комп’ютерних робочих місць, мультимедійного обладнання у приміщенні розташування факультету) та науково-методичного </w:t>
            </w: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забезпечення кабінетів, що реалізуються за рахунок державних та позабюджетних коштів, надходжень коштів від навчання студентів на замовлення фізичних та юридичних осіб, а також участі викладачів і студентів у виконанні грантових проектів.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Інформаційне та навчально-методичне забезпечення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Використання віртуального навчального середовища Львівського національного університету імені Івана Франка (електронних освітніх ресурсів, технологій змішаного або дистанційного навчання, системи електронного навчання </w:t>
            </w:r>
            <w:proofErr w:type="spellStart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Moodle</w:t>
            </w:r>
            <w:proofErr w:type="spellEnd"/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Здобувачі вищої освіти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можуть використовувати фонди бібліотек Університету, читальні зали.</w:t>
            </w:r>
          </w:p>
          <w:p w:rsidR="00172A08" w:rsidRPr="007C4B57" w:rsidRDefault="00172A08" w:rsidP="009C0D54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Навчально-методичне забезпечення включає: офіційний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сайт</w:t>
            </w:r>
            <w:hyperlink r:id="rId12" w:history="1">
              <w:r w:rsidRPr="007C4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https</w:t>
              </w:r>
              <w:proofErr w:type="spellEnd"/>
              <w:r w:rsidRPr="007C4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://</w:t>
              </w:r>
              <w:proofErr w:type="spellStart"/>
              <w:r w:rsidRPr="007C4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pedagogy.lnu.edu.ua</w:t>
              </w:r>
              <w:proofErr w:type="spellEnd"/>
              <w:r w:rsidRPr="007C4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7C4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academics</w:t>
              </w:r>
              <w:proofErr w:type="spellEnd"/>
              <w:r w:rsidRPr="007C4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/</w:t>
              </w:r>
              <w:proofErr w:type="spellStart"/>
              <w:r w:rsidRPr="007C4B57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</w:rPr>
                <w:t>bachelor</w:t>
              </w:r>
              <w:proofErr w:type="spellEnd"/>
            </w:hyperlink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, навчальні і робочі плани, графіки та розклади навчального процесу,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силабуси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та робочі програми навчальних дисциплін, матеріали лекцій, дидактичні матеріали для самостійної та індивідуальної роботи студентів із дисциплін, програми практик, тощо.</w:t>
            </w:r>
          </w:p>
        </w:tc>
      </w:tr>
      <w:tr w:rsidR="00172A08" w:rsidRPr="007C4B57" w:rsidTr="00172A08">
        <w:tc>
          <w:tcPr>
            <w:tcW w:w="103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E0E0"/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9. Академічна мобільність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Національна кредитна мобільність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 w:rsidP="00812B2E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Угода про співпрацю в межах освітніх програм з Прикарпатським національним університетом імені Василя Стефаника; Чернівецьким національним університетом імені Юрія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Федьковича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; Кам’янець-Подільським національним університетом імені Івана Огієнка; Уманським державним педагогічним університетом імені Павла Тичини;</w:t>
            </w:r>
            <w:r w:rsidR="009C0D54"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Ужгородським національним університетом, Тернопільським </w:t>
            </w:r>
            <w:r w:rsidR="00812B2E" w:rsidRPr="007C4B57">
              <w:rPr>
                <w:rFonts w:ascii="Times New Roman" w:hAnsi="Times New Roman" w:cs="Times New Roman"/>
                <w:sz w:val="24"/>
                <w:szCs w:val="24"/>
              </w:rPr>
              <w:t>національним педагогічним університетом імені Володимира Гнатюка, тощо.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Міжнародна кредитна мобільність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Згідно з угодами Львівського національного університету імені Івана Франка про міжнародну кредитну мобільність, зокрема </w:t>
            </w:r>
            <w:r w:rsidRPr="007C4B5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ERASMUS</w:t>
            </w: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+, укладено договори із зарубіжними університетами для проходження практики та міжнародного стажування: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- Вища педагогічна школа університету м.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Клагенфурт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(Австрія)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- Університет Стефана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>Маре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 м. Сучава (Румунія)</w:t>
            </w:r>
          </w:p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Жешівський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університет м. </w:t>
            </w:r>
            <w:proofErr w:type="spellStart"/>
            <w:r w:rsidRPr="007C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Жешів</w:t>
            </w:r>
            <w:proofErr w:type="spellEnd"/>
            <w:r w:rsidRPr="007C4B5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(Республіка Польща)</w:t>
            </w:r>
          </w:p>
        </w:tc>
      </w:tr>
      <w:tr w:rsidR="00172A08" w:rsidRPr="007C4B57" w:rsidTr="00172A08">
        <w:tc>
          <w:tcPr>
            <w:tcW w:w="27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Навчання іноземних здобувачів вищої освіти</w:t>
            </w:r>
          </w:p>
        </w:tc>
        <w:tc>
          <w:tcPr>
            <w:tcW w:w="7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72A08" w:rsidRPr="007C4B57" w:rsidRDefault="00172A08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C4B57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основі Правил прийому до Львівського національного університету імені Івана Франка</w:t>
            </w:r>
          </w:p>
        </w:tc>
      </w:tr>
    </w:tbl>
    <w:p w:rsidR="00172A08" w:rsidRPr="007C4B57" w:rsidRDefault="00172A08" w:rsidP="00172A08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172A08" w:rsidRPr="007C4B57" w:rsidRDefault="00172A08" w:rsidP="00172A08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172A08" w:rsidRPr="007C4B57" w:rsidSect="00E67394">
          <w:pgSz w:w="11906" w:h="16838"/>
          <w:pgMar w:top="851" w:right="567" w:bottom="851" w:left="567" w:header="709" w:footer="709" w:gutter="0"/>
          <w:cols w:space="720"/>
        </w:sectPr>
      </w:pPr>
    </w:p>
    <w:p w:rsidR="00172A08" w:rsidRPr="007C4B57" w:rsidRDefault="00E008C4" w:rsidP="0017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57">
        <w:rPr>
          <w:rFonts w:ascii="Times New Roman" w:hAnsi="Times New Roman" w:cs="Times New Roman"/>
          <w:b/>
          <w:sz w:val="28"/>
          <w:szCs w:val="28"/>
        </w:rPr>
        <w:lastRenderedPageBreak/>
        <w:t>2.Перелік компонент</w:t>
      </w:r>
      <w:r w:rsidR="00172A08" w:rsidRPr="007C4B5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172A08" w:rsidRPr="007C4B57">
        <w:rPr>
          <w:rFonts w:ascii="Times New Roman" w:hAnsi="Times New Roman" w:cs="Times New Roman"/>
          <w:b/>
          <w:sz w:val="28"/>
          <w:szCs w:val="28"/>
        </w:rPr>
        <w:t>освітньо-наукової</w:t>
      </w:r>
      <w:proofErr w:type="spellEnd"/>
      <w:r w:rsidR="00172A08" w:rsidRPr="007C4B57">
        <w:rPr>
          <w:rFonts w:ascii="Times New Roman" w:hAnsi="Times New Roman" w:cs="Times New Roman"/>
          <w:b/>
          <w:sz w:val="28"/>
          <w:szCs w:val="28"/>
        </w:rPr>
        <w:t xml:space="preserve"> програми та їх логічна послідовність</w:t>
      </w:r>
    </w:p>
    <w:p w:rsidR="00172A08" w:rsidRPr="007C4B57" w:rsidRDefault="00172A08" w:rsidP="00172A0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B57">
        <w:rPr>
          <w:rFonts w:ascii="Times New Roman" w:hAnsi="Times New Roman" w:cs="Times New Roman"/>
          <w:b/>
          <w:sz w:val="28"/>
          <w:szCs w:val="28"/>
        </w:rPr>
        <w:t xml:space="preserve">2.1. Перелік компонент освітньої складової </w:t>
      </w:r>
      <w:proofErr w:type="spellStart"/>
      <w:r w:rsidRPr="007C4B57">
        <w:rPr>
          <w:rFonts w:ascii="Times New Roman" w:hAnsi="Times New Roman" w:cs="Times New Roman"/>
          <w:b/>
          <w:sz w:val="28"/>
          <w:szCs w:val="28"/>
        </w:rPr>
        <w:t>освітньо-наукової</w:t>
      </w:r>
      <w:proofErr w:type="spellEnd"/>
      <w:r w:rsidRPr="007C4B57">
        <w:rPr>
          <w:rFonts w:ascii="Times New Roman" w:hAnsi="Times New Roman" w:cs="Times New Roman"/>
          <w:b/>
          <w:sz w:val="28"/>
          <w:szCs w:val="28"/>
        </w:rPr>
        <w:t xml:space="preserve"> програми</w:t>
      </w:r>
    </w:p>
    <w:tbl>
      <w:tblPr>
        <w:tblStyle w:val="16"/>
        <w:tblW w:w="10065" w:type="dxa"/>
        <w:tblInd w:w="-176" w:type="dxa"/>
        <w:tblLayout w:type="fixed"/>
        <w:tblLook w:val="04A0"/>
      </w:tblPr>
      <w:tblGrid>
        <w:gridCol w:w="1305"/>
        <w:gridCol w:w="5783"/>
        <w:gridCol w:w="1276"/>
        <w:gridCol w:w="1701"/>
      </w:tblGrid>
      <w:tr w:rsidR="00172A08" w:rsidRPr="007C4B57" w:rsidTr="00172A08">
        <w:trPr>
          <w:trHeight w:val="986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Код дисципліни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Компоненти освітньої програми (ОП) (навчальні дисципліни, курсові проекти (роботи), практики, кваліфікаційна робота)</w:t>
            </w:r>
          </w:p>
          <w:p w:rsidR="00172A08" w:rsidRPr="007C4B57" w:rsidRDefault="00172A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Кількість кредитів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Форма</w:t>
            </w:r>
          </w:p>
          <w:p w:rsidR="00172A08" w:rsidRPr="007C4B57" w:rsidRDefault="00172A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підсумкового контролю</w:t>
            </w:r>
          </w:p>
        </w:tc>
      </w:tr>
      <w:tr w:rsidR="00172A08" w:rsidRPr="007C4B57" w:rsidTr="00172A08">
        <w:trPr>
          <w:trHeight w:val="66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1. НОРМАТИВНІ КОМПОНЕНТИ ОНП</w:t>
            </w:r>
          </w:p>
        </w:tc>
      </w:tr>
      <w:tr w:rsidR="00172A08" w:rsidRPr="007C4B57" w:rsidTr="00172A08">
        <w:trPr>
          <w:trHeight w:val="297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Складова 1 (глибинні знання зі спеціальності)</w:t>
            </w:r>
          </w:p>
        </w:tc>
      </w:tr>
      <w:tr w:rsidR="00172A08" w:rsidRPr="007C4B57" w:rsidTr="00172A0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Теоретико-</w:t>
            </w:r>
            <w:r w:rsidR="004D2ECD"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методологічні основи педагогічної</w:t>
            </w: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освіти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172A08" w:rsidRPr="007C4B57" w:rsidTr="00172A0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Науковий семінар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172A08" w:rsidRPr="007C4B57" w:rsidTr="00172A0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Складова 2  (загальнонаукові компетентності)</w:t>
            </w:r>
          </w:p>
        </w:tc>
      </w:tr>
      <w:tr w:rsidR="00172A08" w:rsidRPr="007C4B57" w:rsidTr="00172A0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ind w:right="-124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 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Філософія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172A08" w:rsidRPr="007C4B57" w:rsidTr="00172A0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Складова 3  (універсальні навички)</w:t>
            </w:r>
          </w:p>
        </w:tc>
      </w:tr>
      <w:tr w:rsidR="00172A08" w:rsidRPr="007C4B57" w:rsidTr="00172A0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lang w:val="uk-UA"/>
              </w:rPr>
            </w:pPr>
          </w:p>
        </w:tc>
      </w:tr>
      <w:tr w:rsidR="00172A08" w:rsidRPr="007C4B57" w:rsidTr="00172A0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 w:rsidP="00707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 </w:t>
            </w:r>
            <w:r w:rsidR="007077C8"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Педагогічна практика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172A08" w:rsidRPr="007C4B57" w:rsidTr="00172A08"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uk-UA" w:eastAsia="uk-UA"/>
              </w:rPr>
              <w:t>Складова 4  (мовні  компетентності)</w:t>
            </w:r>
          </w:p>
        </w:tc>
      </w:tr>
      <w:tr w:rsidR="00172A08" w:rsidRPr="007C4B57" w:rsidTr="00172A08">
        <w:trPr>
          <w:trHeight w:val="36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7077C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ОК 5 </w:t>
            </w:r>
            <w:r w:rsidR="00172A08"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Іноземна мова за фаховим спрямуванням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</w:tc>
      </w:tr>
      <w:tr w:rsidR="00172A08" w:rsidRPr="007C4B57" w:rsidTr="00172A08">
        <w:trPr>
          <w:trHeight w:val="360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Загальний обсяг </w:t>
            </w:r>
            <w:proofErr w:type="spellStart"/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нормативнихкомпонент</w:t>
            </w:r>
            <w:proofErr w:type="spellEnd"/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25 кредитів</w:t>
            </w:r>
          </w:p>
        </w:tc>
      </w:tr>
      <w:tr w:rsidR="00172A08" w:rsidRPr="007C4B57" w:rsidTr="00172A08">
        <w:trPr>
          <w:trHeight w:val="3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2. Вибіркові компоненти ОНП</w:t>
            </w:r>
          </w:p>
        </w:tc>
      </w:tr>
      <w:tr w:rsidR="00172A08" w:rsidRPr="007C4B57" w:rsidTr="00172A08">
        <w:trPr>
          <w:trHeight w:val="329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Вибірковий блок 1 (складова 1 – глибинні знання зі спеціальності)</w:t>
            </w:r>
          </w:p>
        </w:tc>
      </w:tr>
      <w:tr w:rsidR="00172A08" w:rsidRPr="007C4B57" w:rsidTr="00172A0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1.1.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Науково-методичні </w:t>
            </w:r>
            <w:r w:rsidR="000977CF"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основи змісту вищої освіти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  <w:p w:rsidR="00172A08" w:rsidRPr="007C4B57" w:rsidRDefault="00172A08">
            <w:pPr>
              <w:jc w:val="center"/>
              <w:rPr>
                <w:lang w:val="uk-UA"/>
              </w:rPr>
            </w:pPr>
          </w:p>
        </w:tc>
      </w:tr>
      <w:tr w:rsidR="00172A08" w:rsidRPr="007C4B57" w:rsidTr="00E008C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1.2.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E008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Моделювання та діагностування науково-педагогічних досліджень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lang w:val="uk-UA"/>
              </w:rPr>
            </w:pPr>
          </w:p>
        </w:tc>
      </w:tr>
      <w:tr w:rsidR="00172A08" w:rsidRPr="007C4B57" w:rsidTr="00172A0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2.1.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E008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Формування системного науково-професійного мислення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  <w:p w:rsidR="00172A08" w:rsidRPr="007C4B57" w:rsidRDefault="00172A08">
            <w:pPr>
              <w:jc w:val="center"/>
              <w:rPr>
                <w:lang w:val="uk-UA"/>
              </w:rPr>
            </w:pPr>
          </w:p>
        </w:tc>
      </w:tr>
      <w:tr w:rsidR="00172A08" w:rsidRPr="007C4B57" w:rsidTr="00E008C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2.2.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E008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Теорія і практика управління закладами освіти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lang w:val="uk-UA"/>
              </w:rPr>
            </w:pPr>
          </w:p>
        </w:tc>
      </w:tr>
      <w:tr w:rsidR="00172A08" w:rsidRPr="007C4B57" w:rsidTr="00172A0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3.1.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E008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Сучасна динаміка розвитку світової вищої освіти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екзамен</w:t>
            </w:r>
          </w:p>
          <w:p w:rsidR="00172A08" w:rsidRPr="007C4B57" w:rsidRDefault="00172A08">
            <w:pPr>
              <w:jc w:val="center"/>
              <w:rPr>
                <w:lang w:val="uk-UA"/>
              </w:rPr>
            </w:pPr>
          </w:p>
        </w:tc>
      </w:tr>
      <w:tr w:rsidR="00172A08" w:rsidRPr="007C4B57" w:rsidTr="00E008C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3.2.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E008C4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Інноваційний процеси у вищій освіті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lang w:val="uk-UA"/>
              </w:rPr>
            </w:pPr>
          </w:p>
        </w:tc>
      </w:tr>
      <w:tr w:rsidR="00172A08" w:rsidRPr="007C4B57" w:rsidTr="00E008C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lang w:val="uk-UA"/>
              </w:rPr>
            </w:pPr>
          </w:p>
        </w:tc>
      </w:tr>
      <w:tr w:rsidR="00172A08" w:rsidRPr="007C4B57" w:rsidTr="00172A08"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 вибіркових компонент за блоком 1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172A08" w:rsidRPr="007C4B57" w:rsidTr="00172A08">
        <w:trPr>
          <w:trHeight w:val="278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Вибірковий блок 2 (складова 3 – універсальні навички)</w:t>
            </w:r>
          </w:p>
        </w:tc>
      </w:tr>
      <w:tr w:rsidR="00172A08" w:rsidRPr="007C4B57" w:rsidTr="00172A08">
        <w:trPr>
          <w:trHeight w:val="14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4.1.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Педагогіка вищої школи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172A08" w:rsidRPr="007C4B57" w:rsidTr="00E008C4">
        <w:trPr>
          <w:trHeight w:val="7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4.2.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Методологія підготовки наукової публікації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72A08" w:rsidRPr="007C4B57" w:rsidTr="00172A08">
        <w:trPr>
          <w:trHeight w:val="144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72A08" w:rsidRPr="007C4B57" w:rsidTr="00172A0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5.1.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Психологія</w:t>
            </w:r>
            <w:r w:rsidR="007077C8"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вищої школи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</w:tc>
      </w:tr>
      <w:tr w:rsidR="00172A08" w:rsidRPr="007C4B57" w:rsidTr="00E008C4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5.2.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Підготовка науково-інноваційного </w:t>
            </w:r>
            <w:proofErr w:type="spellStart"/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проєкту</w:t>
            </w:r>
            <w:proofErr w:type="spell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lang w:val="uk-UA"/>
              </w:rPr>
            </w:pPr>
          </w:p>
        </w:tc>
      </w:tr>
      <w:tr w:rsidR="00172A08" w:rsidRPr="007C4B57" w:rsidTr="00172A08"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lang w:val="uk-UA"/>
              </w:rPr>
            </w:pPr>
          </w:p>
        </w:tc>
      </w:tr>
      <w:tr w:rsidR="00172A08" w:rsidRPr="007C4B57" w:rsidTr="00172A08">
        <w:trPr>
          <w:trHeight w:val="160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6.1.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Інновації та підприємництво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3</w:t>
            </w:r>
          </w:p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залік</w:t>
            </w:r>
          </w:p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72A08" w:rsidRPr="007C4B57" w:rsidTr="00E008C4">
        <w:trPr>
          <w:trHeight w:val="4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6.2.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highlight w:val="green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Інтелектуальна власність і трансфер технологій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72A08" w:rsidRPr="007C4B57" w:rsidTr="00E008C4">
        <w:trPr>
          <w:trHeight w:val="423"/>
        </w:trPr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ВК 6.3.</w:t>
            </w:r>
          </w:p>
        </w:tc>
        <w:tc>
          <w:tcPr>
            <w:tcW w:w="5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Інформаційні технології та програмування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172A08" w:rsidRPr="007C4B57" w:rsidTr="00172A08">
        <w:trPr>
          <w:trHeight w:val="407"/>
        </w:trPr>
        <w:tc>
          <w:tcPr>
            <w:tcW w:w="7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Загальний обсяг вибіркових компонент за блоком 2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9</w:t>
            </w:r>
          </w:p>
        </w:tc>
      </w:tr>
      <w:tr w:rsidR="00172A08" w:rsidRPr="007C4B57" w:rsidTr="00172A08">
        <w:trPr>
          <w:trHeight w:val="391"/>
        </w:trPr>
        <w:tc>
          <w:tcPr>
            <w:tcW w:w="1006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2A08" w:rsidRPr="007C4B57" w:rsidRDefault="00172A08">
            <w:pPr>
              <w:widowControl w:val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Загальний обсяг освітньої складової </w:t>
            </w:r>
            <w:proofErr w:type="spellStart"/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освітньо-наукової</w:t>
            </w:r>
            <w:proofErr w:type="spellEnd"/>
            <w:r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 програми                                     4</w:t>
            </w:r>
            <w:r w:rsidR="007077C8" w:rsidRPr="007C4B57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0</w:t>
            </w:r>
          </w:p>
        </w:tc>
      </w:tr>
    </w:tbl>
    <w:p w:rsidR="00172A08" w:rsidRPr="007C4B57" w:rsidRDefault="00172A08" w:rsidP="00172A08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72A08" w:rsidRPr="007C4B57" w:rsidRDefault="00172A08" w:rsidP="00172A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A08" w:rsidRPr="007C4B57" w:rsidRDefault="00172A08" w:rsidP="00172A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A08" w:rsidRPr="007C4B57" w:rsidRDefault="00172A08" w:rsidP="007F4F6A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  <w:sectPr w:rsidR="00172A08" w:rsidRPr="007C4B57">
          <w:pgSz w:w="11906" w:h="16838"/>
          <w:pgMar w:top="1134" w:right="567" w:bottom="1134" w:left="567" w:header="709" w:footer="709" w:gutter="0"/>
          <w:cols w:space="720"/>
        </w:sectPr>
      </w:pPr>
      <w:r w:rsidRPr="007C4B57">
        <w:rPr>
          <w:rFonts w:ascii="Times New Roman" w:eastAsia="Times New Roman" w:hAnsi="Times New Roman" w:cs="Times New Roman"/>
          <w:b/>
          <w:sz w:val="24"/>
          <w:szCs w:val="24"/>
        </w:rPr>
        <w:t>2.2. Структурно-логічна схема О</w:t>
      </w:r>
      <w:r w:rsidR="007F4F6A" w:rsidRPr="007C4B57">
        <w:rPr>
          <w:rFonts w:ascii="Times New Roman" w:eastAsia="Times New Roman" w:hAnsi="Times New Roman" w:cs="Times New Roman"/>
          <w:b/>
          <w:sz w:val="24"/>
          <w:szCs w:val="24"/>
        </w:rPr>
        <w:t>Н</w:t>
      </w:r>
      <w:r w:rsidRPr="007C4B57">
        <w:rPr>
          <w:rFonts w:ascii="Times New Roman" w:eastAsia="Times New Roman" w:hAnsi="Times New Roman" w:cs="Times New Roman"/>
          <w:b/>
          <w:sz w:val="24"/>
          <w:szCs w:val="24"/>
        </w:rPr>
        <w:t xml:space="preserve">П </w:t>
      </w:r>
    </w:p>
    <w:p w:rsidR="00172A08" w:rsidRPr="007C4B57" w:rsidRDefault="00172A08" w:rsidP="00172A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ІІ. НАУКОВА СКЛАДОВА ОСВІТНЬО-НАУКОВОЇ ПРОГРАМИ</w:t>
      </w:r>
    </w:p>
    <w:p w:rsidR="00172A08" w:rsidRPr="007C4B57" w:rsidRDefault="00172A08" w:rsidP="00172A08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172A08" w:rsidRPr="007C4B57" w:rsidRDefault="00172A08" w:rsidP="00172A08">
      <w:pPr>
        <w:widowControl w:val="0"/>
        <w:spacing w:after="0" w:line="240" w:lineRule="auto"/>
        <w:ind w:left="567" w:firstLine="14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57">
        <w:rPr>
          <w:rFonts w:ascii="Times New Roman" w:eastAsia="Times New Roman" w:hAnsi="Times New Roman" w:cs="Times New Roman"/>
          <w:sz w:val="24"/>
          <w:szCs w:val="24"/>
        </w:rPr>
        <w:t xml:space="preserve">Наукова складова </w:t>
      </w:r>
      <w:proofErr w:type="spellStart"/>
      <w:r w:rsidRPr="007C4B57">
        <w:rPr>
          <w:rFonts w:ascii="Times New Roman" w:eastAsia="Times New Roman" w:hAnsi="Times New Roman" w:cs="Times New Roman"/>
          <w:sz w:val="24"/>
          <w:szCs w:val="24"/>
        </w:rPr>
        <w:t>освітньо-наукової</w:t>
      </w:r>
      <w:proofErr w:type="spellEnd"/>
      <w:r w:rsidRPr="007C4B57">
        <w:rPr>
          <w:rFonts w:ascii="Times New Roman" w:eastAsia="Times New Roman" w:hAnsi="Times New Roman" w:cs="Times New Roman"/>
          <w:sz w:val="24"/>
          <w:szCs w:val="24"/>
        </w:rPr>
        <w:t xml:space="preserve"> програми передбачає проведення аспірантом власного наукового дослідження під керівництвом наукового керівника та оформлення його результатів у вигляді дисертації. Дисертація на здобуття ступеня доктор філософії є самостійним розгорнутим дослідженням, що пропонує розв’язання актуального науково-прикладно</w:t>
      </w:r>
      <w:r w:rsidR="00E008C4" w:rsidRPr="007C4B57">
        <w:rPr>
          <w:rFonts w:ascii="Times New Roman" w:eastAsia="Times New Roman" w:hAnsi="Times New Roman" w:cs="Times New Roman"/>
          <w:sz w:val="24"/>
          <w:szCs w:val="24"/>
        </w:rPr>
        <w:t>го завдання за спеціальністю 011</w:t>
      </w:r>
      <w:r w:rsidR="00E008C4" w:rsidRPr="007C4B57">
        <w:rPr>
          <w:rFonts w:ascii="Times New Roman" w:eastAsia="Times New Roman" w:hAnsi="Times New Roman" w:cs="Times New Roman"/>
          <w:bCs/>
          <w:sz w:val="28"/>
          <w:szCs w:val="28"/>
          <w:bdr w:val="none" w:sz="0" w:space="0" w:color="auto" w:frame="1"/>
        </w:rPr>
        <w:t xml:space="preserve"> </w:t>
      </w:r>
      <w:r w:rsidR="00E008C4" w:rsidRPr="007C4B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Освітні, педагогічні науки</w:t>
      </w:r>
      <w:r w:rsidRPr="007C4B57">
        <w:rPr>
          <w:rFonts w:ascii="Times New Roman" w:eastAsia="Times New Roman" w:hAnsi="Times New Roman" w:cs="Times New Roman"/>
          <w:sz w:val="24"/>
          <w:szCs w:val="24"/>
        </w:rPr>
        <w:t xml:space="preserve">, результати якого характеризуються науковою новизною та практичною цінністю і оприлюднені у відповідних публікаціях. </w:t>
      </w:r>
    </w:p>
    <w:p w:rsidR="00172A08" w:rsidRPr="007C4B57" w:rsidRDefault="00172A08" w:rsidP="00172A08">
      <w:pPr>
        <w:widowControl w:val="0"/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57">
        <w:rPr>
          <w:rFonts w:ascii="Times New Roman" w:eastAsia="Times New Roman" w:hAnsi="Times New Roman" w:cs="Times New Roman"/>
          <w:sz w:val="24"/>
          <w:szCs w:val="24"/>
        </w:rPr>
        <w:t xml:space="preserve">Наукова складова </w:t>
      </w:r>
      <w:proofErr w:type="spellStart"/>
      <w:r w:rsidRPr="007C4B57">
        <w:rPr>
          <w:rFonts w:ascii="Times New Roman" w:eastAsia="Times New Roman" w:hAnsi="Times New Roman" w:cs="Times New Roman"/>
          <w:sz w:val="24"/>
          <w:szCs w:val="24"/>
        </w:rPr>
        <w:t>освітньо-наукової</w:t>
      </w:r>
      <w:proofErr w:type="spellEnd"/>
      <w:r w:rsidRPr="007C4B57">
        <w:rPr>
          <w:rFonts w:ascii="Times New Roman" w:eastAsia="Times New Roman" w:hAnsi="Times New Roman" w:cs="Times New Roman"/>
          <w:sz w:val="24"/>
          <w:szCs w:val="24"/>
        </w:rPr>
        <w:t xml:space="preserve"> програми: </w:t>
      </w:r>
    </w:p>
    <w:p w:rsidR="00172A08" w:rsidRPr="007C4B57" w:rsidRDefault="00172A08" w:rsidP="00172A0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57">
        <w:rPr>
          <w:rFonts w:ascii="Times New Roman" w:eastAsia="Times New Roman" w:hAnsi="Times New Roman" w:cs="Times New Roman"/>
          <w:sz w:val="24"/>
          <w:szCs w:val="24"/>
        </w:rPr>
        <w:t xml:space="preserve">- оформляється у вигляді індивідуального плану наукової роботи аспіранта і є складовою навчального плану аспірантури; </w:t>
      </w:r>
    </w:p>
    <w:p w:rsidR="00172A08" w:rsidRPr="007C4B57" w:rsidRDefault="00172A08" w:rsidP="00172A0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C4B57">
        <w:rPr>
          <w:rFonts w:ascii="Times New Roman" w:eastAsia="Times New Roman" w:hAnsi="Times New Roman" w:cs="Times New Roman"/>
          <w:sz w:val="24"/>
          <w:szCs w:val="24"/>
        </w:rPr>
        <w:t xml:space="preserve">- включає звітність про публікації наукових статей, виступи на наукових конференціях, наукових семінарах, круглих столах, симпозіумах. </w:t>
      </w:r>
    </w:p>
    <w:p w:rsidR="00172A08" w:rsidRPr="007C4B57" w:rsidRDefault="00172A08" w:rsidP="00172A08">
      <w:pPr>
        <w:widowControl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72A08" w:rsidRPr="007C4B57" w:rsidRDefault="00172A08" w:rsidP="00172A08">
      <w:pPr>
        <w:framePr w:hSpace="180" w:wrap="around" w:vAnchor="text" w:hAnchor="page" w:x="893" w:y="303"/>
        <w:autoSpaceDE w:val="0"/>
        <w:autoSpaceDN w:val="0"/>
        <w:adjustRightInd w:val="0"/>
        <w:spacing w:after="0" w:line="240" w:lineRule="auto"/>
        <w:ind w:left="567"/>
        <w:rPr>
          <w:rFonts w:ascii="Times New Roman" w:eastAsiaTheme="minorHAnsi" w:hAnsi="Times New Roman" w:cs="Times New Roman"/>
          <w:b/>
          <w:bCs/>
          <w:sz w:val="24"/>
          <w:lang w:eastAsia="en-US"/>
        </w:rPr>
      </w:pPr>
    </w:p>
    <w:p w:rsidR="00172A08" w:rsidRPr="007C4B57" w:rsidRDefault="00172A08" w:rsidP="00172A0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A08" w:rsidRPr="007C4B57" w:rsidRDefault="00172A08" w:rsidP="00172A08">
      <w:pPr>
        <w:spacing w:after="0" w:line="240" w:lineRule="auto"/>
        <w:ind w:left="56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2A08" w:rsidRPr="007C4B57" w:rsidRDefault="00172A08" w:rsidP="00172A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ІІІ. АТЕСТАЦІЯ ЗДОБУВАЧІВ ТРЕТЬОГО РІВНЯ ВИЩОЇ ОСВІТИ. </w:t>
      </w:r>
    </w:p>
    <w:p w:rsidR="00172A08" w:rsidRPr="007C4B57" w:rsidRDefault="00172A08" w:rsidP="00172A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Нормативною формою підсумкової атестації є прилюдний захист результатів науково-дослідної роботи, які представлені у вигляді дисертації. Він дозволяє встановити відповідність рівня науково-дослідницької підготовки аспіранта та вимог, що висуваються до доктора філософії в галуз</w:t>
      </w:r>
      <w:r w:rsidR="004D7DCA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і знань 01 Освіта, спеціальності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01</w:t>
      </w:r>
      <w:r w:rsidR="00E008C4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E008C4" w:rsidRPr="007C4B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 xml:space="preserve"> Освітні, педагогічні науки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172A08" w:rsidRPr="007C4B57" w:rsidRDefault="00172A08" w:rsidP="00172A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дисертаційну роботу доктора філософії в галузі знань 01 Освіта/Педагогіка за спеціальністю 01</w:t>
      </w:r>
      <w:r w:rsidR="007F4F6A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4F6A" w:rsidRPr="007C4B5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Освітні, педагогічні науки</w:t>
      </w:r>
      <w:r w:rsidR="007F4F6A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покладається основна дослідницька і фахова кваліфікаційна функція, яка виражається у здатності пошукувача ступеня доктора філософії розв’язувати комплексні проблеми в галузі професійної та/або дослідницько-інноваційної діяльності, що передбачає глибоке переосмислення наявних та створення нових цілісних знань та/або професійної</w:t>
      </w:r>
      <w:r w:rsidR="007F4F6A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практики. Вона являє собою результат самостійної наукової роботи аспіранта та має статус інтелектуального продукту на правах рукопису.</w:t>
      </w:r>
    </w:p>
    <w:p w:rsidR="00172A08" w:rsidRPr="007C4B57" w:rsidRDefault="00172A08" w:rsidP="00172A08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Форма атестації здобувачів  вищої освіти </w:t>
      </w:r>
    </w:p>
    <w:p w:rsidR="00172A08" w:rsidRPr="007C4B57" w:rsidRDefault="00172A08" w:rsidP="007F4F6A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Атестація здобувачів освітнього рівня докторів філософії здійснюється у формі публічного захисту дисертаційної роботи. Дисертація на здобуття ступеня доктора філософії є самостійним розгорнутим дослідженням, що передбачає розв’язання комплексної проблеми в сфері </w:t>
      </w:r>
      <w:r w:rsidR="007F4F6A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освітніх, педагогічних наук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або на її межі з іншими спеціальност</w:t>
      </w:r>
      <w:r w:rsidR="007F4F6A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ми, що передбачає глибоке переос</w:t>
      </w:r>
      <w:r w:rsidR="007F4F6A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ислення наявних та створення нових цілісних знань та / або професійної практики. Дисертаційна робота не повинна містити академіч</w:t>
      </w:r>
      <w:r w:rsidR="007F4F6A"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7C4B57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плагіату.</w:t>
      </w:r>
    </w:p>
    <w:p w:rsidR="00172A08" w:rsidRPr="007C4B57" w:rsidRDefault="00172A08" w:rsidP="00172A08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08" w:rsidRPr="007C4B57" w:rsidRDefault="00172A08" w:rsidP="00172A08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08" w:rsidRPr="007C4B57" w:rsidRDefault="00172A08" w:rsidP="00172A08">
      <w:pPr>
        <w:spacing w:after="0" w:line="240" w:lineRule="auto"/>
        <w:ind w:left="709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2A08" w:rsidRPr="007C4B57" w:rsidRDefault="00172A08" w:rsidP="00172A08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172A08" w:rsidRPr="007C4B57" w:rsidRDefault="00172A08" w:rsidP="00172A08">
      <w:pPr>
        <w:spacing w:after="0" w:line="240" w:lineRule="auto"/>
        <w:ind w:left="426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Матриця відповідності </w:t>
      </w:r>
      <w:proofErr w:type="spellStart"/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компетентностей</w:t>
      </w:r>
      <w:proofErr w:type="spellEnd"/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освітнім компонентам</w:t>
      </w:r>
    </w:p>
    <w:p w:rsidR="00172A08" w:rsidRPr="007C4B57" w:rsidRDefault="00172A08" w:rsidP="00172A08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освітньо-наукової</w:t>
      </w:r>
      <w:proofErr w:type="spellEnd"/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програми</w:t>
      </w:r>
    </w:p>
    <w:p w:rsidR="00EB092E" w:rsidRPr="007C4B57" w:rsidRDefault="00EB092E" w:rsidP="00172A08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B092E" w:rsidRPr="007C4B57" w:rsidRDefault="00EB092E" w:rsidP="00172A08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7"/>
        <w:tblW w:w="0" w:type="auto"/>
        <w:tblInd w:w="709" w:type="dxa"/>
        <w:tblLook w:val="04A0"/>
      </w:tblPr>
      <w:tblGrid>
        <w:gridCol w:w="457"/>
        <w:gridCol w:w="439"/>
        <w:gridCol w:w="439"/>
        <w:gridCol w:w="439"/>
        <w:gridCol w:w="439"/>
        <w:gridCol w:w="439"/>
        <w:gridCol w:w="430"/>
        <w:gridCol w:w="430"/>
        <w:gridCol w:w="430"/>
        <w:gridCol w:w="430"/>
        <w:gridCol w:w="430"/>
        <w:gridCol w:w="430"/>
        <w:gridCol w:w="456"/>
        <w:gridCol w:w="456"/>
        <w:gridCol w:w="456"/>
        <w:gridCol w:w="430"/>
        <w:gridCol w:w="430"/>
        <w:gridCol w:w="430"/>
        <w:gridCol w:w="430"/>
      </w:tblGrid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ОК 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ОК 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ОК 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ОК 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ОК 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1.1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1.2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2.1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2.2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3.1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3.2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4.1.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4.2.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5.1.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5.2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6.1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6.2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6"/>
                <w:szCs w:val="18"/>
                <w:lang w:val="uk-UA" w:eastAsia="ru-RU"/>
              </w:rPr>
            </w:pPr>
            <w:r w:rsidRPr="007C4B57">
              <w:rPr>
                <w:sz w:val="16"/>
                <w:szCs w:val="18"/>
                <w:lang w:val="uk-UA" w:eastAsia="ru-RU"/>
              </w:rPr>
              <w:t>ВК 6.3</w:t>
            </w: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ЗК 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ЗК 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 w:rsidP="006459EF">
            <w:pPr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ЗК 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ЗК 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ЗК 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lang w:val="uk-UA" w:eastAsia="ru-RU"/>
              </w:rPr>
            </w:pPr>
            <w:r w:rsidRPr="007C4B57">
              <w:rPr>
                <w:lang w:val="uk-UA" w:eastAsia="ru-RU"/>
              </w:rPr>
              <w:t>ЗК 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459EF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lang w:val="uk-UA" w:eastAsia="ru-RU"/>
              </w:rPr>
            </w:pPr>
            <w:r w:rsidRPr="007C4B57">
              <w:rPr>
                <w:lang w:val="uk-UA" w:eastAsia="ru-RU"/>
              </w:rPr>
              <w:t>ЗК 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lang w:val="uk-UA" w:eastAsia="ru-RU"/>
              </w:rPr>
            </w:pPr>
            <w:r w:rsidRPr="007C4B57">
              <w:rPr>
                <w:lang w:val="uk-UA" w:eastAsia="ru-RU"/>
              </w:rPr>
              <w:t>ЗК 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C4B57">
              <w:rPr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E94986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  <w:r w:rsidRPr="007C4B57">
              <w:rPr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24"/>
                <w:szCs w:val="24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ЗК 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eastAsia="ru-RU"/>
              </w:rPr>
              <w:t xml:space="preserve">ЗК </w:t>
            </w:r>
          </w:p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E94986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C70589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C70589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C70589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C70589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СК 1</w:t>
            </w:r>
            <w:r w:rsidR="00B73C03" w:rsidRPr="007C4B57">
              <w:rPr>
                <w:sz w:val="18"/>
                <w:szCs w:val="18"/>
                <w:lang w:val="uk-UA"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 xml:space="preserve">СК </w:t>
            </w:r>
            <w:r w:rsidR="00B73C03" w:rsidRPr="007C4B57">
              <w:rPr>
                <w:sz w:val="18"/>
                <w:szCs w:val="18"/>
                <w:lang w:val="uk-UA" w:eastAsia="ru-RU"/>
              </w:rPr>
              <w:t>1</w:t>
            </w:r>
            <w:r w:rsidRPr="007C4B57">
              <w:rPr>
                <w:sz w:val="18"/>
                <w:szCs w:val="18"/>
                <w:lang w:val="uk-UA"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 xml:space="preserve">СК </w:t>
            </w:r>
            <w:r w:rsidR="00B73C03" w:rsidRPr="007C4B57">
              <w:rPr>
                <w:sz w:val="18"/>
                <w:szCs w:val="18"/>
                <w:lang w:val="uk-UA" w:eastAsia="ru-RU"/>
              </w:rPr>
              <w:t>1</w:t>
            </w:r>
            <w:r w:rsidRPr="007C4B57">
              <w:rPr>
                <w:sz w:val="18"/>
                <w:szCs w:val="18"/>
                <w:lang w:val="uk-UA"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73C03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 xml:space="preserve">СК </w:t>
            </w:r>
            <w:r w:rsidR="00B73C03" w:rsidRPr="007C4B57">
              <w:rPr>
                <w:sz w:val="18"/>
                <w:szCs w:val="18"/>
                <w:lang w:val="uk-UA" w:eastAsia="ru-RU"/>
              </w:rPr>
              <w:t>1</w:t>
            </w:r>
            <w:r w:rsidRPr="007C4B57">
              <w:rPr>
                <w:sz w:val="18"/>
                <w:szCs w:val="18"/>
                <w:lang w:val="uk-UA" w:eastAsia="ru-RU"/>
              </w:rPr>
              <w:t>4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 w:rsidP="00792C2C">
            <w:pPr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 xml:space="preserve">СК </w:t>
            </w:r>
            <w:r w:rsidR="00B73C03" w:rsidRPr="007C4B57">
              <w:rPr>
                <w:sz w:val="18"/>
                <w:szCs w:val="18"/>
                <w:lang w:val="uk-UA" w:eastAsia="ru-RU"/>
              </w:rPr>
              <w:t>1</w:t>
            </w:r>
            <w:r w:rsidRPr="007C4B57">
              <w:rPr>
                <w:sz w:val="18"/>
                <w:szCs w:val="18"/>
                <w:lang w:val="uk-UA" w:eastAsia="ru-RU"/>
              </w:rPr>
              <w:t>5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 xml:space="preserve">СК </w:t>
            </w:r>
            <w:r w:rsidR="00B73C03" w:rsidRPr="007C4B57">
              <w:rPr>
                <w:sz w:val="18"/>
                <w:szCs w:val="18"/>
                <w:lang w:val="uk-UA" w:eastAsia="ru-RU"/>
              </w:rPr>
              <w:t>1</w:t>
            </w:r>
            <w:r w:rsidRPr="007C4B57">
              <w:rPr>
                <w:sz w:val="18"/>
                <w:szCs w:val="18"/>
                <w:lang w:val="uk-UA" w:eastAsia="ru-RU"/>
              </w:rPr>
              <w:t>6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 xml:space="preserve">СК </w:t>
            </w:r>
            <w:r w:rsidR="00B73C03" w:rsidRPr="007C4B57">
              <w:rPr>
                <w:sz w:val="18"/>
                <w:szCs w:val="18"/>
                <w:lang w:val="uk-UA" w:eastAsia="ru-RU"/>
              </w:rPr>
              <w:t>1</w:t>
            </w:r>
            <w:r w:rsidRPr="007C4B57">
              <w:rPr>
                <w:sz w:val="18"/>
                <w:szCs w:val="18"/>
                <w:lang w:val="uk-UA" w:eastAsia="ru-RU"/>
              </w:rPr>
              <w:t>7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792C2C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 xml:space="preserve">СК </w:t>
            </w:r>
            <w:r w:rsidR="00B73C03" w:rsidRPr="007C4B57">
              <w:rPr>
                <w:sz w:val="18"/>
                <w:szCs w:val="18"/>
                <w:lang w:val="uk-UA" w:eastAsia="ru-RU"/>
              </w:rPr>
              <w:t>1</w:t>
            </w:r>
            <w:r w:rsidRPr="007C4B57">
              <w:rPr>
                <w:sz w:val="18"/>
                <w:szCs w:val="18"/>
                <w:lang w:val="uk-UA" w:eastAsia="ru-RU"/>
              </w:rPr>
              <w:t>8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 xml:space="preserve">СК </w:t>
            </w:r>
            <w:r w:rsidR="00B73C03" w:rsidRPr="007C4B57">
              <w:rPr>
                <w:sz w:val="18"/>
                <w:szCs w:val="18"/>
                <w:lang w:val="uk-UA" w:eastAsia="ru-RU"/>
              </w:rPr>
              <w:t>1</w:t>
            </w:r>
            <w:r w:rsidRPr="007C4B57">
              <w:rPr>
                <w:sz w:val="18"/>
                <w:szCs w:val="18"/>
                <w:lang w:val="uk-UA" w:eastAsia="ru-RU"/>
              </w:rPr>
              <w:t>9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 w:rsidP="00630856">
            <w:pPr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73C03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 xml:space="preserve">СК </w:t>
            </w:r>
          </w:p>
          <w:p w:rsidR="00B73C03" w:rsidRPr="007C4B57" w:rsidRDefault="00B73C03">
            <w:pPr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20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b/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val="uk-UA"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eastAsia="ru-RU"/>
              </w:rPr>
              <w:t>СК</w:t>
            </w:r>
          </w:p>
          <w:p w:rsidR="00B343B0" w:rsidRPr="007C4B57" w:rsidRDefault="00B73C03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eastAsia="ru-RU"/>
              </w:rPr>
              <w:t>2</w:t>
            </w:r>
            <w:r w:rsidR="00B343B0" w:rsidRPr="007C4B57">
              <w:rPr>
                <w:sz w:val="18"/>
                <w:szCs w:val="18"/>
                <w:lang w:eastAsia="ru-RU"/>
              </w:rPr>
              <w:t>1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630856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eastAsia="ru-RU"/>
              </w:rPr>
              <w:t>СК</w:t>
            </w:r>
          </w:p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eastAsia="ru-RU"/>
              </w:rPr>
              <w:t>2</w:t>
            </w:r>
            <w:r w:rsidR="00B73C03" w:rsidRPr="007C4B57">
              <w:rPr>
                <w:sz w:val="18"/>
                <w:szCs w:val="18"/>
                <w:lang w:eastAsia="ru-RU"/>
              </w:rPr>
              <w:t>2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8253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8253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8253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8253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8253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8253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8253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8253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8253F1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</w:tr>
      <w:tr w:rsidR="00B343B0" w:rsidRPr="007C4B57" w:rsidTr="00A557A7"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eastAsia="ru-RU"/>
              </w:rPr>
              <w:t>СК</w:t>
            </w:r>
          </w:p>
          <w:p w:rsidR="00B343B0" w:rsidRPr="007C4B57" w:rsidRDefault="00B73C03">
            <w:pPr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eastAsia="ru-RU"/>
              </w:rPr>
              <w:t>2</w:t>
            </w:r>
            <w:r w:rsidR="00B343B0" w:rsidRPr="007C4B57">
              <w:rPr>
                <w:sz w:val="18"/>
                <w:szCs w:val="18"/>
                <w:lang w:eastAsia="ru-RU"/>
              </w:rPr>
              <w:t>3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B092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B092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EB092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EB092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B092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B092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B092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B092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3B0" w:rsidRPr="007C4B57" w:rsidRDefault="00EB092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B343B0">
            <w:pPr>
              <w:jc w:val="center"/>
              <w:rPr>
                <w:b/>
                <w:sz w:val="18"/>
                <w:szCs w:val="18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43B0" w:rsidRPr="007C4B57" w:rsidRDefault="00EB092E">
            <w:pPr>
              <w:jc w:val="center"/>
              <w:rPr>
                <w:b/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+</w:t>
            </w:r>
          </w:p>
        </w:tc>
      </w:tr>
    </w:tbl>
    <w:p w:rsidR="00172A08" w:rsidRPr="007C4B57" w:rsidRDefault="00172A08" w:rsidP="00A557A7">
      <w:pPr>
        <w:spacing w:after="0" w:line="240" w:lineRule="auto"/>
        <w:ind w:left="708" w:firstLine="70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Матриця забезпечення програмних результатів навчання</w:t>
      </w:r>
    </w:p>
    <w:p w:rsidR="00172A08" w:rsidRPr="007C4B57" w:rsidRDefault="00172A08" w:rsidP="00A557A7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відповідними компонентами</w:t>
      </w:r>
    </w:p>
    <w:p w:rsidR="00172A08" w:rsidRPr="007C4B57" w:rsidRDefault="00172A08" w:rsidP="00A557A7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spellStart"/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освітньо-наукової</w:t>
      </w:r>
      <w:proofErr w:type="spellEnd"/>
      <w:r w:rsidRPr="007C4B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програми</w:t>
      </w:r>
    </w:p>
    <w:p w:rsidR="00172A08" w:rsidRPr="007C4B57" w:rsidRDefault="00172A08" w:rsidP="00172A08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Style w:val="af7"/>
        <w:tblW w:w="0" w:type="auto"/>
        <w:tblInd w:w="709" w:type="dxa"/>
        <w:tblLook w:val="04A0"/>
      </w:tblPr>
      <w:tblGrid>
        <w:gridCol w:w="464"/>
        <w:gridCol w:w="403"/>
        <w:gridCol w:w="403"/>
        <w:gridCol w:w="403"/>
        <w:gridCol w:w="403"/>
        <w:gridCol w:w="403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  <w:gridCol w:w="430"/>
      </w:tblGrid>
      <w:tr w:rsidR="00146F2C" w:rsidRPr="007C4B57" w:rsidTr="00E33F05">
        <w:trPr>
          <w:trHeight w:val="448"/>
        </w:trPr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0К 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0К 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0К 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0К 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0К 5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1.1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1.2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2.1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2.2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3.1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3.2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4.1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4.2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5.1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5.2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6.1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6.2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sz w:val="16"/>
                <w:szCs w:val="16"/>
                <w:lang w:val="uk-UA" w:eastAsia="ru-RU"/>
              </w:rPr>
            </w:pPr>
            <w:r w:rsidRPr="007C4B57">
              <w:rPr>
                <w:sz w:val="16"/>
                <w:szCs w:val="16"/>
                <w:lang w:val="uk-UA" w:eastAsia="ru-RU"/>
              </w:rPr>
              <w:t>ВК 6.3</w:t>
            </w: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8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9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 w:rsidP="00146F2C">
            <w:pPr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10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  <w:bookmarkStart w:id="1" w:name="_GoBack"/>
            <w:bookmarkEnd w:id="1"/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val="uk-UA"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11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val="uk-UA"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12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13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14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15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16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  <w:tr w:rsidR="00146F2C" w:rsidRPr="007C4B57" w:rsidTr="00EB092E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146F2C">
            <w:pPr>
              <w:ind w:left="-113"/>
              <w:jc w:val="center"/>
              <w:rPr>
                <w:sz w:val="18"/>
                <w:szCs w:val="18"/>
                <w:lang w:eastAsia="ru-RU"/>
              </w:rPr>
            </w:pPr>
            <w:r w:rsidRPr="007C4B57">
              <w:rPr>
                <w:sz w:val="18"/>
                <w:szCs w:val="18"/>
                <w:lang w:val="uk-UA" w:eastAsia="ru-RU"/>
              </w:rPr>
              <w:t>ПРН 17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406F27">
            <w:pPr>
              <w:jc w:val="center"/>
              <w:rPr>
                <w:b/>
                <w:sz w:val="24"/>
                <w:szCs w:val="24"/>
                <w:lang w:eastAsia="ru-RU"/>
              </w:rPr>
            </w:pPr>
            <w:r w:rsidRPr="007C4B57">
              <w:rPr>
                <w:b/>
                <w:sz w:val="24"/>
                <w:szCs w:val="24"/>
                <w:lang w:val="uk-UA" w:eastAsia="ru-RU"/>
              </w:rPr>
              <w:t>+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F2C" w:rsidRPr="007C4B57" w:rsidRDefault="00146F2C">
            <w:pPr>
              <w:jc w:val="center"/>
              <w:rPr>
                <w:b/>
                <w:sz w:val="24"/>
                <w:szCs w:val="24"/>
                <w:lang w:eastAsia="ru-RU"/>
              </w:rPr>
            </w:pPr>
          </w:p>
        </w:tc>
      </w:tr>
    </w:tbl>
    <w:p w:rsidR="00172A08" w:rsidRPr="007C4B57" w:rsidRDefault="00172A08" w:rsidP="00172A08">
      <w:pPr>
        <w:spacing w:after="0" w:line="240" w:lineRule="auto"/>
        <w:ind w:left="709"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278AF" w:rsidRPr="007C4B57" w:rsidRDefault="00D278AF">
      <w:r w:rsidRPr="007C4B57">
        <w:br w:type="page"/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b/>
          <w:sz w:val="24"/>
          <w:szCs w:val="24"/>
        </w:rPr>
        <w:lastRenderedPageBreak/>
        <w:t>У цій освітній програмі використано державні та галузеві нормативні документи</w:t>
      </w:r>
      <w:r w:rsidRPr="007C4B57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1. ESG 2015 (Стандарти та рекомендації із забезпечення якості в ЄПВО) – </w:t>
      </w:r>
      <w:hyperlink r:id="rId13" w:history="1">
        <w:r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https://ihed.org.ua/wp-content/uploads/2018/10/04_2016_ESG_2015.pdf</w:t>
        </w:r>
      </w:hyperlink>
      <w:r w:rsidRPr="007C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2. EQF 2017 (Європейська рамка кваліфікацій) – https://ec.europa.eu/ploteus/content/descriptors-page 3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>4. ISCED (Мі</w:t>
      </w:r>
      <w:r w:rsidR="007C4B57" w:rsidRPr="007C4B57">
        <w:rPr>
          <w:rFonts w:ascii="Times New Roman" w:hAnsi="Times New Roman" w:cs="Times New Roman"/>
          <w:sz w:val="24"/>
          <w:szCs w:val="24"/>
        </w:rPr>
        <w:t xml:space="preserve">. QF EHEA 2018 (Рамка кваліфікацій ЄПВО) – </w:t>
      </w:r>
      <w:hyperlink r:id="rId14" w:history="1">
        <w:r w:rsidR="007C4B57"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http://onma.edu.ua/wpcontent/uploads/2020/02/Qualifications-Frameworks-inEuropean-EducationArea_ONMA.pdf</w:t>
        </w:r>
      </w:hyperlink>
      <w:r w:rsidRPr="007C4B57">
        <w:rPr>
          <w:rFonts w:ascii="Times New Roman" w:hAnsi="Times New Roman" w:cs="Times New Roman"/>
          <w:sz w:val="24"/>
          <w:szCs w:val="24"/>
        </w:rPr>
        <w:t xml:space="preserve">жнародна стандартна класифікація освіти, МСКО) 2011 – </w:t>
      </w:r>
      <w:hyperlink r:id="rId15" w:history="1">
        <w:r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http://uis.unesco.org/sites/default/files/documents/isced-2011-ru.pdf</w:t>
        </w:r>
      </w:hyperlink>
      <w:r w:rsidRPr="007C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5. Закон «Про вищу освіту» – http://zakon4.rada.gov.ua/laws/show/1556- 18 .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>6. Закон «Про освіту» – http://zakon5.rada.gov.ua/laws/show/2145-19 .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7. Національний класифікатор України: Класифікатор професій </w:t>
      </w:r>
      <w:proofErr w:type="spellStart"/>
      <w:r w:rsidRPr="007C4B57">
        <w:rPr>
          <w:rFonts w:ascii="Times New Roman" w:hAnsi="Times New Roman" w:cs="Times New Roman"/>
          <w:sz w:val="24"/>
          <w:szCs w:val="24"/>
        </w:rPr>
        <w:t>ДК</w:t>
      </w:r>
      <w:proofErr w:type="spellEnd"/>
      <w:r w:rsidRPr="007C4B57">
        <w:rPr>
          <w:rFonts w:ascii="Times New Roman" w:hAnsi="Times New Roman" w:cs="Times New Roman"/>
          <w:sz w:val="24"/>
          <w:szCs w:val="24"/>
        </w:rPr>
        <w:t xml:space="preserve"> 003:2010. </w:t>
      </w:r>
      <w:hyperlink r:id="rId16" w:history="1">
        <w:r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https://zakon.rada.gov.ua/rada/show/va327609-10#Text</w:t>
        </w:r>
      </w:hyperlink>
      <w:r w:rsidRPr="007C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8. Національна рамка кваліфікацій – http://zakon4.rada.gov.ua/laws/show/1341-2011-п .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9. Перелік галузей знань і спеціальностей, 2015 – </w:t>
      </w:r>
      <w:hyperlink r:id="rId17" w:history="1">
        <w:r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https://zakon.rada.gov.ua/laws/show/266-2015-%D0%BF#Text19</w:t>
        </w:r>
      </w:hyperlink>
      <w:r w:rsidRPr="007C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10. Указ Президента України «Питання європейської та євроатлантичної інтеграції» від 20 квітня 2019 р. № 155/2019 – </w:t>
      </w:r>
      <w:hyperlink r:id="rId18" w:history="1">
        <w:r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https://www.president.gov.ua/documents/1552019-26586</w:t>
        </w:r>
      </w:hyperlink>
      <w:r w:rsidRPr="007C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11. Постанова Кабінету Міністрів України «Про затвердження Порядку підготовки здобувачів вищої освіти ступеня доктора філософії та доктора наук у вищих навчальних закладах (наукових установах) № 261 від 23 березня 2016 р. – </w:t>
      </w:r>
      <w:hyperlink r:id="rId19" w:history="1">
        <w:r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https://zakon.rada.gov.ua/laws/show/261-2016-%D0%BF#Text</w:t>
        </w:r>
      </w:hyperlink>
      <w:r w:rsidRPr="007C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12. Постанова Кабінету Міністрів України «Про проведення експерименту з присудження ступеня доктора філософії» № 167 від 06.03.2019 р. – </w:t>
      </w:r>
      <w:hyperlink r:id="rId20" w:history="1">
        <w:r w:rsidRPr="007C4B57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https://zakon.rada.gov.ua/laws/show/167-2019-%D0%BF#Text</w:t>
        </w:r>
      </w:hyperlink>
      <w:r w:rsidRPr="007C4B5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8AF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13. Постанова Кабінету Міністрів України від 30.12.2015 № 1187 «Про затвердження Ліцензійних умов провадження освітньої діяльності закладів освіти» – http://www.kmu.gov.ua/control/uk/cardnpd?docid=248779880 . </w:t>
      </w:r>
    </w:p>
    <w:p w:rsidR="003D3F5A" w:rsidRPr="007C4B57" w:rsidRDefault="00D278AF" w:rsidP="00D278AF">
      <w:pPr>
        <w:jc w:val="both"/>
        <w:rPr>
          <w:rFonts w:ascii="Times New Roman" w:hAnsi="Times New Roman" w:cs="Times New Roman"/>
          <w:sz w:val="24"/>
          <w:szCs w:val="24"/>
        </w:rPr>
      </w:pPr>
      <w:r w:rsidRPr="007C4B57">
        <w:rPr>
          <w:rFonts w:ascii="Times New Roman" w:hAnsi="Times New Roman" w:cs="Times New Roman"/>
          <w:sz w:val="24"/>
          <w:szCs w:val="24"/>
        </w:rPr>
        <w:t xml:space="preserve">14. Методичні рекомендації щодо розроблення стандартів вищої освіти, затверджені наказом Міністерства освіти і науки України від 01.06.2017 р. № 600 (у редакції наказу Міністерства освіти і науки України від 01.10.2019 р. № 1254), схвалені сектором вищої освіти </w:t>
      </w:r>
      <w:proofErr w:type="spellStart"/>
      <w:r w:rsidRPr="007C4B57">
        <w:rPr>
          <w:rFonts w:ascii="Times New Roman" w:hAnsi="Times New Roman" w:cs="Times New Roman"/>
          <w:sz w:val="24"/>
          <w:szCs w:val="24"/>
        </w:rPr>
        <w:t>Науковометодичної</w:t>
      </w:r>
      <w:proofErr w:type="spellEnd"/>
      <w:r w:rsidRPr="007C4B57">
        <w:rPr>
          <w:rFonts w:ascii="Times New Roman" w:hAnsi="Times New Roman" w:cs="Times New Roman"/>
          <w:sz w:val="24"/>
          <w:szCs w:val="24"/>
        </w:rPr>
        <w:t xml:space="preserve"> Ради Міністерства освіти і науки України (протокол № 3 від 21 червня 2019 р.) – https://mon.gov.ua/storage/app/media/vishchaosvita/proekty%20standartiv%20vishcha%20osvita/1648.pdf.</w:t>
      </w:r>
    </w:p>
    <w:sectPr w:rsidR="003D3F5A" w:rsidRPr="007C4B57" w:rsidSect="00FC595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F6325"/>
    <w:multiLevelType w:val="hybridMultilevel"/>
    <w:tmpl w:val="E17E319A"/>
    <w:lvl w:ilvl="0" w:tplc="C9B244BA">
      <w:start w:val="1"/>
      <w:numFmt w:val="decimal"/>
      <w:lvlText w:val="%1."/>
      <w:lvlJc w:val="left"/>
      <w:pPr>
        <w:ind w:left="786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6A0CDA"/>
    <w:multiLevelType w:val="hybridMultilevel"/>
    <w:tmpl w:val="6C102C6E"/>
    <w:lvl w:ilvl="0" w:tplc="FBA453EE">
      <w:start w:val="7"/>
      <w:numFmt w:val="decimal"/>
      <w:lvlText w:val="%1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04F55E1"/>
    <w:multiLevelType w:val="hybridMultilevel"/>
    <w:tmpl w:val="B24CB576"/>
    <w:lvl w:ilvl="0" w:tplc="A03478A4">
      <w:start w:val="1"/>
      <w:numFmt w:val="decimal"/>
      <w:lvlText w:val="%1."/>
      <w:lvlJc w:val="left"/>
      <w:pPr>
        <w:ind w:left="420" w:hanging="360"/>
      </w:p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704CAC"/>
    <w:multiLevelType w:val="hybridMultilevel"/>
    <w:tmpl w:val="4032166A"/>
    <w:lvl w:ilvl="0" w:tplc="2F86B0A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5C1807"/>
    <w:multiLevelType w:val="hybridMultilevel"/>
    <w:tmpl w:val="36606992"/>
    <w:lvl w:ilvl="0" w:tplc="0590D5E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6" w:hanging="360"/>
      </w:pPr>
    </w:lvl>
    <w:lvl w:ilvl="2" w:tplc="0422001B" w:tentative="1">
      <w:start w:val="1"/>
      <w:numFmt w:val="lowerRoman"/>
      <w:lvlText w:val="%3."/>
      <w:lvlJc w:val="right"/>
      <w:pPr>
        <w:ind w:left="2226" w:hanging="180"/>
      </w:pPr>
    </w:lvl>
    <w:lvl w:ilvl="3" w:tplc="0422000F" w:tentative="1">
      <w:start w:val="1"/>
      <w:numFmt w:val="decimal"/>
      <w:lvlText w:val="%4."/>
      <w:lvlJc w:val="left"/>
      <w:pPr>
        <w:ind w:left="2946" w:hanging="360"/>
      </w:pPr>
    </w:lvl>
    <w:lvl w:ilvl="4" w:tplc="04220019" w:tentative="1">
      <w:start w:val="1"/>
      <w:numFmt w:val="lowerLetter"/>
      <w:lvlText w:val="%5."/>
      <w:lvlJc w:val="left"/>
      <w:pPr>
        <w:ind w:left="3666" w:hanging="360"/>
      </w:pPr>
    </w:lvl>
    <w:lvl w:ilvl="5" w:tplc="0422001B" w:tentative="1">
      <w:start w:val="1"/>
      <w:numFmt w:val="lowerRoman"/>
      <w:lvlText w:val="%6."/>
      <w:lvlJc w:val="right"/>
      <w:pPr>
        <w:ind w:left="4386" w:hanging="180"/>
      </w:pPr>
    </w:lvl>
    <w:lvl w:ilvl="6" w:tplc="0422000F" w:tentative="1">
      <w:start w:val="1"/>
      <w:numFmt w:val="decimal"/>
      <w:lvlText w:val="%7."/>
      <w:lvlJc w:val="left"/>
      <w:pPr>
        <w:ind w:left="5106" w:hanging="360"/>
      </w:pPr>
    </w:lvl>
    <w:lvl w:ilvl="7" w:tplc="04220019" w:tentative="1">
      <w:start w:val="1"/>
      <w:numFmt w:val="lowerLetter"/>
      <w:lvlText w:val="%8."/>
      <w:lvlJc w:val="left"/>
      <w:pPr>
        <w:ind w:left="5826" w:hanging="360"/>
      </w:pPr>
    </w:lvl>
    <w:lvl w:ilvl="8" w:tplc="042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A0A06A0"/>
    <w:multiLevelType w:val="hybridMultilevel"/>
    <w:tmpl w:val="AD44AE94"/>
    <w:lvl w:ilvl="0" w:tplc="87B80F14">
      <w:numFmt w:val="bullet"/>
      <w:lvlText w:val="-"/>
      <w:lvlJc w:val="left"/>
      <w:pPr>
        <w:ind w:left="1473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1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72A08"/>
    <w:rsid w:val="000046EB"/>
    <w:rsid w:val="00077E6D"/>
    <w:rsid w:val="000977CF"/>
    <w:rsid w:val="00126E6C"/>
    <w:rsid w:val="00127CFF"/>
    <w:rsid w:val="00146F2C"/>
    <w:rsid w:val="00172A08"/>
    <w:rsid w:val="002A7DF0"/>
    <w:rsid w:val="002C382F"/>
    <w:rsid w:val="00306929"/>
    <w:rsid w:val="003805A8"/>
    <w:rsid w:val="003C1800"/>
    <w:rsid w:val="003D3F5A"/>
    <w:rsid w:val="003F1419"/>
    <w:rsid w:val="00406F27"/>
    <w:rsid w:val="00423E86"/>
    <w:rsid w:val="0048461C"/>
    <w:rsid w:val="004D29BF"/>
    <w:rsid w:val="004D2ECD"/>
    <w:rsid w:val="004D7DCA"/>
    <w:rsid w:val="00630856"/>
    <w:rsid w:val="006459EF"/>
    <w:rsid w:val="007077C8"/>
    <w:rsid w:val="00792C2C"/>
    <w:rsid w:val="007C4B57"/>
    <w:rsid w:val="007F4F6A"/>
    <w:rsid w:val="00812B2E"/>
    <w:rsid w:val="008253F1"/>
    <w:rsid w:val="008359BC"/>
    <w:rsid w:val="009A5489"/>
    <w:rsid w:val="009C0D54"/>
    <w:rsid w:val="00A33314"/>
    <w:rsid w:val="00A557A7"/>
    <w:rsid w:val="00B343B0"/>
    <w:rsid w:val="00B62E2D"/>
    <w:rsid w:val="00B73C03"/>
    <w:rsid w:val="00BC2E09"/>
    <w:rsid w:val="00BD6F4F"/>
    <w:rsid w:val="00C70589"/>
    <w:rsid w:val="00D278AF"/>
    <w:rsid w:val="00E008C4"/>
    <w:rsid w:val="00E01372"/>
    <w:rsid w:val="00E33F05"/>
    <w:rsid w:val="00E619A2"/>
    <w:rsid w:val="00E67394"/>
    <w:rsid w:val="00E94986"/>
    <w:rsid w:val="00EB092E"/>
    <w:rsid w:val="00F01719"/>
    <w:rsid w:val="00FC1B33"/>
    <w:rsid w:val="00FC5951"/>
    <w:rsid w:val="00FD5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51"/>
  </w:style>
  <w:style w:type="paragraph" w:styleId="1">
    <w:name w:val="heading 1"/>
    <w:basedOn w:val="a"/>
    <w:next w:val="a"/>
    <w:link w:val="10"/>
    <w:qFormat/>
    <w:rsid w:val="00172A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paragraph" w:styleId="2">
    <w:name w:val="heading 2"/>
    <w:basedOn w:val="a"/>
    <w:next w:val="a"/>
    <w:link w:val="20"/>
    <w:semiHidden/>
    <w:unhideWhenUsed/>
    <w:qFormat/>
    <w:rsid w:val="00172A0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172A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paragraph" w:styleId="4">
    <w:name w:val="heading 4"/>
    <w:basedOn w:val="a"/>
    <w:next w:val="a"/>
    <w:link w:val="40"/>
    <w:semiHidden/>
    <w:unhideWhenUsed/>
    <w:qFormat/>
    <w:rsid w:val="00172A0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172A0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paragraph" w:styleId="6">
    <w:name w:val="heading 6"/>
    <w:basedOn w:val="a"/>
    <w:next w:val="a"/>
    <w:link w:val="60"/>
    <w:semiHidden/>
    <w:unhideWhenUsed/>
    <w:qFormat/>
    <w:rsid w:val="00172A0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lang w:val="ru-RU"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72A0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2A0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en-US"/>
    </w:rPr>
  </w:style>
  <w:style w:type="character" w:customStyle="1" w:styleId="20">
    <w:name w:val="Заголовок 2 Знак"/>
    <w:basedOn w:val="a0"/>
    <w:link w:val="2"/>
    <w:semiHidden/>
    <w:rsid w:val="00172A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 w:eastAsia="en-US"/>
    </w:rPr>
  </w:style>
  <w:style w:type="character" w:customStyle="1" w:styleId="30">
    <w:name w:val="Заголовок 3 Знак"/>
    <w:basedOn w:val="a0"/>
    <w:link w:val="3"/>
    <w:uiPriority w:val="9"/>
    <w:rsid w:val="00172A08"/>
    <w:rPr>
      <w:rFonts w:asciiTheme="majorHAnsi" w:eastAsiaTheme="majorEastAsia" w:hAnsiTheme="majorHAnsi" w:cstheme="majorBidi"/>
      <w:b/>
      <w:bCs/>
      <w:color w:val="4F81BD" w:themeColor="accent1"/>
      <w:lang w:val="ru-RU" w:eastAsia="en-US"/>
    </w:rPr>
  </w:style>
  <w:style w:type="character" w:customStyle="1" w:styleId="40">
    <w:name w:val="Заголовок 4 Знак"/>
    <w:basedOn w:val="a0"/>
    <w:link w:val="4"/>
    <w:semiHidden/>
    <w:rsid w:val="00172A08"/>
    <w:rPr>
      <w:rFonts w:asciiTheme="majorHAnsi" w:eastAsiaTheme="majorEastAsia" w:hAnsiTheme="majorHAnsi" w:cstheme="majorBidi"/>
      <w:b/>
      <w:bCs/>
      <w:i/>
      <w:iCs/>
      <w:color w:val="4F81BD" w:themeColor="accent1"/>
      <w:lang w:val="ru-RU" w:eastAsia="en-US"/>
    </w:rPr>
  </w:style>
  <w:style w:type="character" w:customStyle="1" w:styleId="50">
    <w:name w:val="Заголовок 5 Знак"/>
    <w:basedOn w:val="a0"/>
    <w:link w:val="5"/>
    <w:semiHidden/>
    <w:rsid w:val="00172A08"/>
    <w:rPr>
      <w:rFonts w:asciiTheme="majorHAnsi" w:eastAsiaTheme="majorEastAsia" w:hAnsiTheme="majorHAnsi" w:cstheme="majorBidi"/>
      <w:color w:val="243F60" w:themeColor="accent1" w:themeShade="7F"/>
      <w:lang w:val="ru-RU" w:eastAsia="en-US"/>
    </w:rPr>
  </w:style>
  <w:style w:type="character" w:customStyle="1" w:styleId="60">
    <w:name w:val="Заголовок 6 Знак"/>
    <w:basedOn w:val="a0"/>
    <w:link w:val="6"/>
    <w:semiHidden/>
    <w:rsid w:val="00172A08"/>
    <w:rPr>
      <w:rFonts w:asciiTheme="majorHAnsi" w:eastAsiaTheme="majorEastAsia" w:hAnsiTheme="majorHAnsi" w:cstheme="majorBidi"/>
      <w:i/>
      <w:iCs/>
      <w:color w:val="243F60" w:themeColor="accent1" w:themeShade="7F"/>
      <w:lang w:val="ru-RU" w:eastAsia="en-US"/>
    </w:rPr>
  </w:style>
  <w:style w:type="character" w:customStyle="1" w:styleId="70">
    <w:name w:val="Заголовок 7 Знак"/>
    <w:basedOn w:val="a0"/>
    <w:link w:val="7"/>
    <w:uiPriority w:val="9"/>
    <w:semiHidden/>
    <w:rsid w:val="00172A08"/>
    <w:rPr>
      <w:rFonts w:asciiTheme="majorHAnsi" w:eastAsiaTheme="majorEastAsia" w:hAnsiTheme="majorHAnsi" w:cstheme="majorBidi"/>
      <w:i/>
      <w:iCs/>
      <w:color w:val="404040" w:themeColor="text1" w:themeTint="BF"/>
      <w:lang w:val="ru-RU" w:eastAsia="en-US"/>
    </w:rPr>
  </w:style>
  <w:style w:type="character" w:styleId="a3">
    <w:name w:val="Hyperlink"/>
    <w:basedOn w:val="a0"/>
    <w:uiPriority w:val="99"/>
    <w:unhideWhenUsed/>
    <w:rsid w:val="00172A0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72A08"/>
    <w:rPr>
      <w:color w:val="800080" w:themeColor="followedHyperlink"/>
      <w:u w:val="single"/>
    </w:rPr>
  </w:style>
  <w:style w:type="paragraph" w:styleId="a5">
    <w:name w:val="Normal (Web)"/>
    <w:basedOn w:val="a"/>
    <w:semiHidden/>
    <w:unhideWhenUsed/>
    <w:rsid w:val="001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172A0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172A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footer"/>
    <w:basedOn w:val="a"/>
    <w:link w:val="a9"/>
    <w:uiPriority w:val="99"/>
    <w:semiHidden/>
    <w:unhideWhenUsed/>
    <w:rsid w:val="00172A08"/>
    <w:pPr>
      <w:tabs>
        <w:tab w:val="center" w:pos="4819"/>
        <w:tab w:val="right" w:pos="9639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72A0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a">
    <w:name w:val="Body Text"/>
    <w:basedOn w:val="a"/>
    <w:link w:val="11"/>
    <w:semiHidden/>
    <w:unhideWhenUsed/>
    <w:rsid w:val="00172A08"/>
    <w:pPr>
      <w:widowControl w:val="0"/>
      <w:shd w:val="clear" w:color="auto" w:fill="FFFFFF"/>
      <w:spacing w:after="0" w:line="320" w:lineRule="exact"/>
    </w:pPr>
    <w:rPr>
      <w:rFonts w:eastAsiaTheme="minorHAnsi"/>
      <w:spacing w:val="10"/>
      <w:lang w:val="ru-RU" w:eastAsia="en-US"/>
    </w:rPr>
  </w:style>
  <w:style w:type="character" w:customStyle="1" w:styleId="ab">
    <w:name w:val="Основной текст Знак"/>
    <w:basedOn w:val="a0"/>
    <w:link w:val="aa"/>
    <w:semiHidden/>
    <w:rsid w:val="00172A08"/>
  </w:style>
  <w:style w:type="paragraph" w:styleId="ac">
    <w:name w:val="Body Text Indent"/>
    <w:basedOn w:val="a"/>
    <w:link w:val="ad"/>
    <w:uiPriority w:val="99"/>
    <w:semiHidden/>
    <w:unhideWhenUsed/>
    <w:rsid w:val="00172A08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172A08"/>
    <w:rPr>
      <w:rFonts w:ascii="Calibri" w:eastAsia="Calibri" w:hAnsi="Calibri" w:cs="Times New Roman"/>
      <w:lang w:eastAsia="en-US"/>
    </w:rPr>
  </w:style>
  <w:style w:type="paragraph" w:styleId="31">
    <w:name w:val="Body Text 3"/>
    <w:basedOn w:val="a"/>
    <w:link w:val="32"/>
    <w:uiPriority w:val="99"/>
    <w:semiHidden/>
    <w:unhideWhenUsed/>
    <w:rsid w:val="00172A08"/>
    <w:pPr>
      <w:spacing w:after="120"/>
    </w:pPr>
    <w:rPr>
      <w:rFonts w:ascii="Calibri" w:eastAsia="Calibri" w:hAnsi="Calibri" w:cs="Times New Roman"/>
      <w:sz w:val="16"/>
      <w:szCs w:val="16"/>
      <w:lang w:eastAsia="en-US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172A08"/>
    <w:rPr>
      <w:rFonts w:ascii="Calibri" w:eastAsia="Calibri" w:hAnsi="Calibri" w:cs="Times New Roman"/>
      <w:sz w:val="16"/>
      <w:szCs w:val="16"/>
      <w:lang w:eastAsia="en-US"/>
    </w:rPr>
  </w:style>
  <w:style w:type="paragraph" w:styleId="21">
    <w:name w:val="Body Text Indent 2"/>
    <w:basedOn w:val="a"/>
    <w:link w:val="22"/>
    <w:semiHidden/>
    <w:unhideWhenUsed/>
    <w:rsid w:val="00172A08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22">
    <w:name w:val="Основной текст с отступом 2 Знак"/>
    <w:basedOn w:val="a0"/>
    <w:link w:val="21"/>
    <w:semiHidden/>
    <w:rsid w:val="00172A08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styleId="ae">
    <w:name w:val="Balloon Text"/>
    <w:basedOn w:val="a"/>
    <w:link w:val="af"/>
    <w:uiPriority w:val="99"/>
    <w:semiHidden/>
    <w:unhideWhenUsed/>
    <w:rsid w:val="00172A08"/>
    <w:pPr>
      <w:spacing w:after="0" w:line="240" w:lineRule="auto"/>
    </w:pPr>
    <w:rPr>
      <w:rFonts w:ascii="Tahoma" w:eastAsiaTheme="minorHAnsi" w:hAnsi="Tahoma" w:cs="Tahoma"/>
      <w:sz w:val="16"/>
      <w:szCs w:val="16"/>
      <w:lang w:val="ru-RU" w:eastAsia="en-US"/>
    </w:rPr>
  </w:style>
  <w:style w:type="character" w:customStyle="1" w:styleId="af">
    <w:name w:val="Текст выноски Знак"/>
    <w:basedOn w:val="a0"/>
    <w:link w:val="ae"/>
    <w:uiPriority w:val="99"/>
    <w:semiHidden/>
    <w:rsid w:val="00172A08"/>
    <w:rPr>
      <w:rFonts w:ascii="Tahoma" w:eastAsiaTheme="minorHAnsi" w:hAnsi="Tahoma" w:cs="Tahoma"/>
      <w:sz w:val="16"/>
      <w:szCs w:val="16"/>
      <w:lang w:val="ru-RU" w:eastAsia="en-US"/>
    </w:rPr>
  </w:style>
  <w:style w:type="paragraph" w:styleId="af0">
    <w:name w:val="List Paragraph"/>
    <w:basedOn w:val="a"/>
    <w:uiPriority w:val="34"/>
    <w:qFormat/>
    <w:rsid w:val="00172A08"/>
    <w:pPr>
      <w:ind w:left="720"/>
      <w:contextualSpacing/>
    </w:pPr>
    <w:rPr>
      <w:rFonts w:ascii="Calibri" w:eastAsia="Calibri" w:hAnsi="Calibri" w:cs="Times New Roman"/>
      <w:lang w:val="ru-RU" w:eastAsia="en-US"/>
    </w:rPr>
  </w:style>
  <w:style w:type="character" w:customStyle="1" w:styleId="51">
    <w:name w:val="Основной текст (5)_"/>
    <w:link w:val="52"/>
    <w:uiPriority w:val="99"/>
    <w:locked/>
    <w:rsid w:val="00172A08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172A08"/>
    <w:pPr>
      <w:widowControl w:val="0"/>
      <w:shd w:val="clear" w:color="auto" w:fill="FFFFFF"/>
      <w:spacing w:before="1560" w:after="0" w:line="283" w:lineRule="exact"/>
      <w:jc w:val="center"/>
    </w:pPr>
    <w:rPr>
      <w:rFonts w:ascii="Times New Roman" w:hAnsi="Times New Roman" w:cs="Times New Roman"/>
      <w:b/>
      <w:bCs/>
    </w:rPr>
  </w:style>
  <w:style w:type="paragraph" w:customStyle="1" w:styleId="af1">
    <w:name w:val="Обычный с отступом"/>
    <w:basedOn w:val="a"/>
    <w:autoRedefine/>
    <w:rsid w:val="00172A0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28"/>
      <w:szCs w:val="28"/>
      <w:lang w:eastAsia="ru-RU"/>
    </w:rPr>
  </w:style>
  <w:style w:type="character" w:customStyle="1" w:styleId="33">
    <w:name w:val="Основной текст (3)_"/>
    <w:link w:val="34"/>
    <w:uiPriority w:val="99"/>
    <w:locked/>
    <w:rsid w:val="00172A08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172A08"/>
    <w:pPr>
      <w:widowControl w:val="0"/>
      <w:shd w:val="clear" w:color="auto" w:fill="FFFFFF"/>
      <w:spacing w:after="1260" w:line="211" w:lineRule="exact"/>
      <w:jc w:val="center"/>
    </w:pPr>
    <w:rPr>
      <w:rFonts w:ascii="Times New Roman" w:hAnsi="Times New Roman" w:cs="Times New Roman"/>
      <w:b/>
      <w:bCs/>
      <w:sz w:val="18"/>
      <w:szCs w:val="18"/>
    </w:rPr>
  </w:style>
  <w:style w:type="paragraph" w:customStyle="1" w:styleId="12">
    <w:name w:val="Абзац списку1"/>
    <w:basedOn w:val="a"/>
    <w:qFormat/>
    <w:rsid w:val="00172A0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customStyle="1" w:styleId="13">
    <w:name w:val="Абзац списка1"/>
    <w:basedOn w:val="a"/>
    <w:rsid w:val="00172A08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default">
    <w:name w:val="default"/>
    <w:basedOn w:val="a"/>
    <w:rsid w:val="001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41">
    <w:name w:val="Обычный4"/>
    <w:rsid w:val="00172A08"/>
    <w:pPr>
      <w:widowControl w:val="0"/>
      <w:snapToGrid w:val="0"/>
      <w:spacing w:after="0" w:line="240" w:lineRule="auto"/>
      <w:ind w:firstLine="3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0">
    <w:name w:val="Default"/>
    <w:rsid w:val="00172A08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14">
    <w:name w:val="Обычный1"/>
    <w:rsid w:val="00172A0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af2">
    <w:name w:val="!!! Ввод список"/>
    <w:basedOn w:val="a"/>
    <w:rsid w:val="00172A0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xmsonormal">
    <w:name w:val="x_msonormal"/>
    <w:basedOn w:val="a"/>
    <w:rsid w:val="00172A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0">
    <w:name w:val="rvts0"/>
    <w:rsid w:val="00172A08"/>
  </w:style>
  <w:style w:type="character" w:customStyle="1" w:styleId="apple-converted-space">
    <w:name w:val="apple-converted-space"/>
    <w:rsid w:val="00172A08"/>
  </w:style>
  <w:style w:type="character" w:customStyle="1" w:styleId="11">
    <w:name w:val="Основной текст Знак1"/>
    <w:basedOn w:val="a0"/>
    <w:link w:val="aa"/>
    <w:semiHidden/>
    <w:locked/>
    <w:rsid w:val="00172A08"/>
    <w:rPr>
      <w:rFonts w:eastAsiaTheme="minorHAnsi"/>
      <w:spacing w:val="10"/>
      <w:shd w:val="clear" w:color="auto" w:fill="FFFFFF"/>
      <w:lang w:val="ru-RU" w:eastAsia="en-US"/>
    </w:rPr>
  </w:style>
  <w:style w:type="character" w:customStyle="1" w:styleId="15">
    <w:name w:val="Основний текст Знак1"/>
    <w:uiPriority w:val="99"/>
    <w:semiHidden/>
    <w:rsid w:val="00172A08"/>
    <w:rPr>
      <w:rFonts w:ascii="Times New Roman" w:eastAsia="Times New Roman" w:hAnsi="Times New Roman" w:cs="Times New Roman" w:hint="default"/>
      <w:sz w:val="24"/>
      <w:szCs w:val="24"/>
      <w:lang w:val="ru-RU" w:eastAsia="ru-RU"/>
    </w:rPr>
  </w:style>
  <w:style w:type="character" w:customStyle="1" w:styleId="xfmc1">
    <w:name w:val="xfmc1"/>
    <w:basedOn w:val="a0"/>
    <w:rsid w:val="00172A08"/>
  </w:style>
  <w:style w:type="paragraph" w:styleId="af3">
    <w:name w:val="Title"/>
    <w:basedOn w:val="a"/>
    <w:next w:val="a"/>
    <w:link w:val="af4"/>
    <w:qFormat/>
    <w:rsid w:val="00172A0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character" w:customStyle="1" w:styleId="af4">
    <w:name w:val="Название Знак"/>
    <w:basedOn w:val="a0"/>
    <w:link w:val="af3"/>
    <w:rsid w:val="00172A0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ru-RU" w:eastAsia="en-US"/>
    </w:rPr>
  </w:style>
  <w:style w:type="paragraph" w:styleId="af5">
    <w:name w:val="Subtitle"/>
    <w:basedOn w:val="a"/>
    <w:next w:val="a"/>
    <w:link w:val="af6"/>
    <w:qFormat/>
    <w:rsid w:val="00172A0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af6">
    <w:name w:val="Подзаголовок Знак"/>
    <w:basedOn w:val="a0"/>
    <w:link w:val="af5"/>
    <w:rsid w:val="00172A0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ru-RU" w:eastAsia="en-US"/>
    </w:rPr>
  </w:style>
  <w:style w:type="character" w:customStyle="1" w:styleId="rvts20">
    <w:name w:val="rvts20"/>
    <w:basedOn w:val="a0"/>
    <w:rsid w:val="00172A08"/>
  </w:style>
  <w:style w:type="character" w:customStyle="1" w:styleId="UnresolvedMention">
    <w:name w:val="Unresolved Mention"/>
    <w:basedOn w:val="a0"/>
    <w:uiPriority w:val="99"/>
    <w:semiHidden/>
    <w:rsid w:val="00172A08"/>
    <w:rPr>
      <w:color w:val="605E5C"/>
      <w:shd w:val="clear" w:color="auto" w:fill="E1DFDD"/>
    </w:rPr>
  </w:style>
  <w:style w:type="table" w:styleId="af7">
    <w:name w:val="Table Grid"/>
    <w:basedOn w:val="a1"/>
    <w:uiPriority w:val="59"/>
    <w:rsid w:val="00172A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Сетка таблицы1"/>
    <w:basedOn w:val="a1"/>
    <w:uiPriority w:val="59"/>
    <w:rsid w:val="00172A08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uiPriority w:val="59"/>
    <w:rsid w:val="00172A08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72A0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35">
    <w:name w:val="Сетка таблицы3"/>
    <w:basedOn w:val="a1"/>
    <w:uiPriority w:val="59"/>
    <w:rsid w:val="00172A08"/>
    <w:pPr>
      <w:spacing w:after="0" w:line="240" w:lineRule="auto"/>
    </w:pPr>
    <w:rPr>
      <w:rFonts w:eastAsiaTheme="minorHAnsi"/>
      <w:lang w:val="ru-RU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1">
    <w:name w:val="Table Normal1"/>
    <w:rsid w:val="00172A08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89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iki.lp.edu.ua/wiki/index.php?title=%D0%86%D0%BD%D1%81%D1%82%D0%B8%D1%82%D1%83%D1%82_%D0%BF%D1%80%D0%B0%D0%B2%D0%B0._%D0%BF%D1%81%D0%B8%D1%85%D0%BE%D0%BB%D0%BE%D0%B3%D1%96%D1%97_%D1%82%D0%B0_%D1%96%D0%BD%D0%BD%D0%BE%D0%B2%D0%B0%D1%86%D1%96%D0%B9%D0%BD%D0%BE%D1%97_%D0%BE%D1%81%D0%B2%D1%96%D1%82%D0%B8&amp;action=edit&amp;redlink=1" TargetMode="External"/><Relationship Id="rId13" Type="http://schemas.openxmlformats.org/officeDocument/2006/relationships/hyperlink" Target="https://ihed.org.ua/wp-content/uploads/2018/10/04_2016_ESG_2015.pdf" TargetMode="External"/><Relationship Id="rId18" Type="http://schemas.openxmlformats.org/officeDocument/2006/relationships/hyperlink" Target="https://www.president.gov.ua/documents/1552019-26586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http://wiki.lp.edu.ua/wiki/%D0%9A%D0%B0%D1%84%D0%B5%D0%B4%D1%80%D0%B0_%D0%BF%D0%B5%D0%B4%D0%B0%D0%B3%D0%BE%D0%B3%D1%96%D0%BA%D0%B8_%D1%82%D0%B0_%D1%96%D0%BD%D0%BD%D0%BE%D0%B2%D0%B0%D1%86%D1%96%D0%B9%D0%BD%D0%BE%D1%97_%D0%BE%D1%81%D0%B2%D1%96%D1%82%D0%B8" TargetMode="External"/><Relationship Id="rId12" Type="http://schemas.openxmlformats.org/officeDocument/2006/relationships/hyperlink" Target="https://pedagogy.lnu.edu.ua/academics/bachelor" TargetMode="External"/><Relationship Id="rId17" Type="http://schemas.openxmlformats.org/officeDocument/2006/relationships/hyperlink" Target="https://zakon.rada.gov.ua/laws/show/266-2015-%D0%BF#Text1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zakon.rada.gov.ua/rada/show/va327609-10#Text" TargetMode="External"/><Relationship Id="rId20" Type="http://schemas.openxmlformats.org/officeDocument/2006/relationships/hyperlink" Target="https://zakon.rada.gov.ua/laws/show/167-2019-%D0%BF#Text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philology.lnu.edu.ua/department/kafedra-ukrajinskoji-literatury-imeni-akademika-myhajla-voznyaka" TargetMode="External"/><Relationship Id="rId11" Type="http://schemas.openxmlformats.org/officeDocument/2006/relationships/hyperlink" Target="https://aspirantura.lnu.edu.ua/document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uis.unesco.org/sites/default/files/documents/isced-2011-ru.pdf" TargetMode="External"/><Relationship Id="rId10" Type="http://schemas.openxmlformats.org/officeDocument/2006/relationships/hyperlink" Target="https://pedagogy.lnu.edu.ua/academics/postgraduates" TargetMode="External"/><Relationship Id="rId19" Type="http://schemas.openxmlformats.org/officeDocument/2006/relationships/hyperlink" Target="https://zakon.rada.gov.ua/laws/show/261-2016-%D0%BF#Tex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iki.lp.edu.ua/wiki/%D0%9D%D0%B0%D1%86%D1%96%D0%BE%D0%BD%D0%B0%D0%BB%D1%8C%D0%BD%D0%B8%D0%B9_%D1%83%D0%BD%D1%96%D0%B2%D0%B5%D1%80%D1%81%D0%B8%D1%82%D0%B5%D1%82_%C2%AB%D0%9B%D1%8C%D0%B2%D1%96%D0%B2%D1%81%D1%8C%D0%BA%D0%B0_%D0%BF%D0%BE%D0%BB%D1%96%D1%82%D0%B5%D1%85%D0%BD%D1%96%D0%BA%D0%B0%C2%BB" TargetMode="External"/><Relationship Id="rId14" Type="http://schemas.openxmlformats.org/officeDocument/2006/relationships/hyperlink" Target="http://onma.edu.ua/wpcontent/uploads/2020/02/Qualifications-Frameworks-inEuropean-EducationArea_ONMA.pdf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4DB456-7974-40AC-AADA-1764A1AE7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1785</TotalTime>
  <Pages>15</Pages>
  <Words>23110</Words>
  <Characters>13173</Characters>
  <Application>Microsoft Office Word</Application>
  <DocSecurity>0</DocSecurity>
  <Lines>109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21</cp:revision>
  <dcterms:created xsi:type="dcterms:W3CDTF">2021-09-28T14:38:00Z</dcterms:created>
  <dcterms:modified xsi:type="dcterms:W3CDTF">2021-09-29T20:45:00Z</dcterms:modified>
</cp:coreProperties>
</file>